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2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171"/>
        <w:gridCol w:w="6829"/>
      </w:tblGrid>
      <w:tr w:rsidR="005B3C75" w:rsidTr="00FE5CEB">
        <w:tblPrEx>
          <w:tblCellMar>
            <w:top w:w="0" w:type="dxa"/>
            <w:bottom w:w="0" w:type="dxa"/>
          </w:tblCellMar>
        </w:tblPrEx>
        <w:trPr>
          <w:tblCellSpacing w:w="60" w:type="dxa"/>
        </w:trPr>
        <w:tc>
          <w:tcPr>
            <w:tcW w:w="1152" w:type="pct"/>
            <w:shd w:val="clear" w:color="auto" w:fill="E7F0F9"/>
          </w:tcPr>
          <w:p w:rsidR="005B3C75" w:rsidRDefault="00FE5CEB">
            <w:pPr>
              <w:spacing w:after="0" w:line="240" w:lineRule="auto"/>
            </w:pPr>
            <w:r>
              <w:rPr>
                <w:b/>
              </w:rPr>
              <w:t>RKP broj</w:t>
            </w:r>
          </w:p>
        </w:tc>
        <w:tc>
          <w:tcPr>
            <w:tcW w:w="0" w:type="auto"/>
            <w:shd w:val="clear" w:color="auto" w:fill="E7F0F9"/>
          </w:tcPr>
          <w:p w:rsidR="005B3C75" w:rsidRDefault="00FE5CEB">
            <w:pPr>
              <w:spacing w:after="0" w:line="240" w:lineRule="auto"/>
            </w:pPr>
            <w:r>
              <w:t>16035</w:t>
            </w:r>
          </w:p>
        </w:tc>
      </w:tr>
      <w:tr w:rsidR="005B3C75" w:rsidTr="00FE5CEB">
        <w:tblPrEx>
          <w:tblCellMar>
            <w:top w:w="0" w:type="dxa"/>
            <w:bottom w:w="0" w:type="dxa"/>
          </w:tblCellMar>
        </w:tblPrEx>
        <w:trPr>
          <w:tblCellSpacing w:w="60" w:type="dxa"/>
        </w:trPr>
        <w:tc>
          <w:tcPr>
            <w:tcW w:w="1152" w:type="pct"/>
            <w:shd w:val="clear" w:color="auto" w:fill="E7F0F9"/>
          </w:tcPr>
          <w:p w:rsidR="005B3C75" w:rsidRDefault="00FE5CEB">
            <w:pPr>
              <w:spacing w:after="0" w:line="240" w:lineRule="auto"/>
            </w:pPr>
            <w:r>
              <w:rPr>
                <w:b/>
              </w:rPr>
              <w:t>Naziv obveznika</w:t>
            </w:r>
          </w:p>
        </w:tc>
        <w:tc>
          <w:tcPr>
            <w:tcW w:w="0" w:type="auto"/>
            <w:shd w:val="clear" w:color="auto" w:fill="E7F0F9"/>
          </w:tcPr>
          <w:p w:rsidR="005B3C75" w:rsidRDefault="00FE5CEB">
            <w:pPr>
              <w:spacing w:after="0" w:line="240" w:lineRule="auto"/>
            </w:pPr>
            <w:proofErr w:type="spellStart"/>
            <w:r>
              <w:t>O.Š</w:t>
            </w:r>
            <w:proofErr w:type="spellEnd"/>
            <w:r>
              <w:t>. KSAVERA ŠANDORA GJALSKOG, ZABOK</w:t>
            </w:r>
          </w:p>
        </w:tc>
      </w:tr>
      <w:tr w:rsidR="005B3C75" w:rsidTr="00FE5CEB">
        <w:tblPrEx>
          <w:tblCellMar>
            <w:top w:w="0" w:type="dxa"/>
            <w:bottom w:w="0" w:type="dxa"/>
          </w:tblCellMar>
        </w:tblPrEx>
        <w:trPr>
          <w:tblCellSpacing w:w="60" w:type="dxa"/>
        </w:trPr>
        <w:tc>
          <w:tcPr>
            <w:tcW w:w="1152" w:type="pct"/>
            <w:shd w:val="clear" w:color="auto" w:fill="E7F0F9"/>
          </w:tcPr>
          <w:p w:rsidR="005B3C75" w:rsidRDefault="00FE5CEB">
            <w:pPr>
              <w:spacing w:after="0" w:line="240" w:lineRule="auto"/>
            </w:pPr>
            <w:r>
              <w:rPr>
                <w:b/>
              </w:rPr>
              <w:t>Razina</w:t>
            </w:r>
          </w:p>
        </w:tc>
        <w:tc>
          <w:tcPr>
            <w:tcW w:w="0" w:type="auto"/>
            <w:shd w:val="clear" w:color="auto" w:fill="E7F0F9"/>
          </w:tcPr>
          <w:p w:rsidR="005B3C75" w:rsidRDefault="00FE5CEB">
            <w:pPr>
              <w:spacing w:after="0" w:line="240" w:lineRule="auto"/>
            </w:pPr>
            <w:r>
              <w:t>31</w:t>
            </w:r>
          </w:p>
        </w:tc>
      </w:tr>
    </w:tbl>
    <w:p w:rsidR="00FE5CEB" w:rsidRDefault="00FE5CEB" w:rsidP="00FE5CEB">
      <w:r>
        <w:t>KLASA:400-0</w:t>
      </w:r>
      <w:r>
        <w:t>3</w:t>
      </w:r>
      <w:r>
        <w:t>/26-01/</w:t>
      </w:r>
      <w:proofErr w:type="spellStart"/>
      <w:r>
        <w:t>0</w:t>
      </w:r>
      <w:r>
        <w:t>1</w:t>
      </w:r>
      <w:proofErr w:type="spellEnd"/>
    </w:p>
    <w:p w:rsidR="00FE5CEB" w:rsidRDefault="00FE5CEB" w:rsidP="00FE5CEB">
      <w:r>
        <w:t>URBROJ:2140-8</w:t>
      </w:r>
      <w:r>
        <w:t>2-</w:t>
      </w:r>
      <w:r>
        <w:t>26-02</w:t>
      </w:r>
    </w:p>
    <w:p w:rsidR="00FE5CEB" w:rsidRDefault="00FE5CEB" w:rsidP="00FE5CEB">
      <w:r>
        <w:t xml:space="preserve">Zabok </w:t>
      </w:r>
      <w:r>
        <w:t xml:space="preserve">, </w:t>
      </w:r>
      <w:r>
        <w:t>13.2</w:t>
      </w:r>
      <w:r>
        <w:t>.2026.</w:t>
      </w:r>
    </w:p>
    <w:p w:rsidR="005B3C75" w:rsidRDefault="00FE5CEB">
      <w:r>
        <w:br/>
      </w:r>
    </w:p>
    <w:p w:rsidR="005B3C75" w:rsidRDefault="00FE5CEB">
      <w:pPr>
        <w:spacing w:line="240" w:lineRule="auto"/>
        <w:jc w:val="center"/>
      </w:pPr>
      <w:r>
        <w:rPr>
          <w:b/>
          <w:sz w:val="28"/>
        </w:rPr>
        <w:t>BILJEŠKE UZ FINANCIJSKE IZVJEŠTAJE</w:t>
      </w:r>
    </w:p>
    <w:p w:rsidR="005B3C75" w:rsidRDefault="00FE5CEB">
      <w:pPr>
        <w:spacing w:line="240" w:lineRule="auto"/>
        <w:jc w:val="center"/>
      </w:pPr>
      <w:r>
        <w:rPr>
          <w:b/>
          <w:sz w:val="28"/>
        </w:rPr>
        <w:t>ZA RAZDOBLJE</w:t>
      </w:r>
    </w:p>
    <w:p w:rsidR="005B3C75" w:rsidRDefault="00FE5CEB">
      <w:pPr>
        <w:spacing w:line="240" w:lineRule="auto"/>
        <w:jc w:val="center"/>
      </w:pPr>
      <w:r>
        <w:rPr>
          <w:b/>
          <w:sz w:val="28"/>
        </w:rPr>
        <w:t>I - XII 2025.</w:t>
      </w:r>
    </w:p>
    <w:p w:rsidR="005B3C75" w:rsidRDefault="005B3C75"/>
    <w:p w:rsidR="005B3C75" w:rsidRDefault="00FE5CEB">
      <w:pPr>
        <w:keepNext/>
        <w:spacing w:line="240" w:lineRule="auto"/>
        <w:jc w:val="center"/>
      </w:pPr>
      <w:r>
        <w:rPr>
          <w:b/>
          <w:sz w:val="28"/>
        </w:rPr>
        <w:t>Izvještaj o prihodima i rashodima, primicima i izdacima</w:t>
      </w:r>
    </w:p>
    <w:p w:rsidR="005B3C75" w:rsidRDefault="00FE5CEB">
      <w:pPr>
        <w:keepNext/>
        <w:spacing w:line="240" w:lineRule="auto"/>
        <w:jc w:val="center"/>
      </w:pPr>
      <w:r>
        <w:rPr>
          <w:sz w:val="28"/>
        </w:rPr>
        <w:t>Bilješka 1.</w:t>
      </w:r>
    </w:p>
    <w:tbl>
      <w:tblPr>
        <w:tblW w:w="0" w:type="auto"/>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6</w:t>
            </w:r>
          </w:p>
        </w:tc>
        <w:tc>
          <w:tcPr>
            <w:tcW w:w="3180" w:type="dxa"/>
            <w:tcMar>
              <w:top w:w="0" w:type="dxa"/>
              <w:bottom w:w="0" w:type="dxa"/>
            </w:tcMar>
            <w:vAlign w:val="center"/>
          </w:tcPr>
          <w:p w:rsidR="005B3C75" w:rsidRDefault="00FE5CEB">
            <w:pPr>
              <w:keepNext/>
              <w:keepLines/>
              <w:spacing w:after="0" w:line="240" w:lineRule="auto"/>
            </w:pPr>
            <w:r>
              <w:rPr>
                <w:sz w:val="18"/>
              </w:rPr>
              <w:t>PRIHODI POSLOVANJA (šifre 61+62+63+64+65+66+67+68)</w:t>
            </w:r>
          </w:p>
        </w:tc>
        <w:tc>
          <w:tcPr>
            <w:tcW w:w="700" w:type="dxa"/>
            <w:tcMar>
              <w:top w:w="0" w:type="dxa"/>
              <w:bottom w:w="0" w:type="dxa"/>
            </w:tcMar>
            <w:vAlign w:val="center"/>
          </w:tcPr>
          <w:p w:rsidR="005B3C75" w:rsidRDefault="00FE5CEB">
            <w:pPr>
              <w:keepNext/>
              <w:keepLines/>
              <w:spacing w:after="0" w:line="240" w:lineRule="auto"/>
            </w:pPr>
            <w:r>
              <w:rPr>
                <w:sz w:val="18"/>
              </w:rPr>
              <w:t>6</w:t>
            </w:r>
          </w:p>
        </w:tc>
        <w:tc>
          <w:tcPr>
            <w:tcW w:w="1860" w:type="dxa"/>
            <w:tcMar>
              <w:top w:w="0" w:type="dxa"/>
              <w:bottom w:w="0" w:type="dxa"/>
            </w:tcMar>
            <w:vAlign w:val="center"/>
          </w:tcPr>
          <w:p w:rsidR="005B3C75" w:rsidRDefault="00FE5CEB">
            <w:pPr>
              <w:keepNext/>
              <w:keepLines/>
              <w:spacing w:after="0" w:line="240" w:lineRule="auto"/>
              <w:jc w:val="right"/>
            </w:pPr>
            <w:r>
              <w:rPr>
                <w:sz w:val="18"/>
              </w:rPr>
              <w:t>3.798.930,91</w:t>
            </w:r>
          </w:p>
        </w:tc>
        <w:tc>
          <w:tcPr>
            <w:tcW w:w="1860" w:type="dxa"/>
            <w:tcMar>
              <w:top w:w="0" w:type="dxa"/>
              <w:bottom w:w="0" w:type="dxa"/>
            </w:tcMar>
            <w:vAlign w:val="center"/>
          </w:tcPr>
          <w:p w:rsidR="005B3C75" w:rsidRDefault="00FE5CEB">
            <w:pPr>
              <w:keepNext/>
              <w:keepLines/>
              <w:spacing w:after="0" w:line="240" w:lineRule="auto"/>
              <w:jc w:val="right"/>
            </w:pPr>
            <w:r>
              <w:rPr>
                <w:sz w:val="18"/>
              </w:rPr>
              <w:t>4.094.234,88</w:t>
            </w:r>
          </w:p>
        </w:tc>
        <w:tc>
          <w:tcPr>
            <w:tcW w:w="700" w:type="dxa"/>
            <w:tcMar>
              <w:top w:w="0" w:type="dxa"/>
              <w:bottom w:w="0" w:type="dxa"/>
            </w:tcMar>
            <w:vAlign w:val="center"/>
          </w:tcPr>
          <w:p w:rsidR="005B3C75" w:rsidRDefault="00FE5CEB">
            <w:pPr>
              <w:keepNext/>
              <w:keepLines/>
              <w:spacing w:after="0" w:line="240" w:lineRule="auto"/>
              <w:jc w:val="right"/>
            </w:pPr>
            <w:r>
              <w:rPr>
                <w:sz w:val="18"/>
              </w:rPr>
              <w:t>107,8</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3</w:t>
            </w:r>
          </w:p>
        </w:tc>
        <w:tc>
          <w:tcPr>
            <w:tcW w:w="3180" w:type="dxa"/>
            <w:tcMar>
              <w:top w:w="0" w:type="dxa"/>
              <w:bottom w:w="0" w:type="dxa"/>
            </w:tcMar>
            <w:vAlign w:val="center"/>
          </w:tcPr>
          <w:p w:rsidR="005B3C75" w:rsidRDefault="00FE5CEB">
            <w:pPr>
              <w:keepNext/>
              <w:keepLines/>
              <w:spacing w:after="0" w:line="240" w:lineRule="auto"/>
            </w:pPr>
            <w:r>
              <w:rPr>
                <w:sz w:val="18"/>
              </w:rPr>
              <w:t>RASHODI POSLOVANJA (šifre 31+32+34+35+36+37+38)</w:t>
            </w:r>
          </w:p>
        </w:tc>
        <w:tc>
          <w:tcPr>
            <w:tcW w:w="700" w:type="dxa"/>
            <w:tcMar>
              <w:top w:w="0" w:type="dxa"/>
              <w:bottom w:w="0" w:type="dxa"/>
            </w:tcMar>
            <w:vAlign w:val="center"/>
          </w:tcPr>
          <w:p w:rsidR="005B3C75" w:rsidRDefault="00FE5CEB">
            <w:pPr>
              <w:keepNext/>
              <w:keepLines/>
              <w:spacing w:after="0" w:line="240" w:lineRule="auto"/>
            </w:pPr>
            <w:r>
              <w:rPr>
                <w:sz w:val="18"/>
              </w:rPr>
              <w:t>3</w:t>
            </w:r>
          </w:p>
        </w:tc>
        <w:tc>
          <w:tcPr>
            <w:tcW w:w="1860" w:type="dxa"/>
            <w:tcMar>
              <w:top w:w="0" w:type="dxa"/>
              <w:bottom w:w="0" w:type="dxa"/>
            </w:tcMar>
            <w:vAlign w:val="center"/>
          </w:tcPr>
          <w:p w:rsidR="005B3C75" w:rsidRDefault="00FE5CEB">
            <w:pPr>
              <w:keepNext/>
              <w:keepLines/>
              <w:spacing w:after="0" w:line="240" w:lineRule="auto"/>
              <w:jc w:val="right"/>
            </w:pPr>
            <w:r>
              <w:rPr>
                <w:sz w:val="18"/>
              </w:rPr>
              <w:t>3.817.450,15</w:t>
            </w:r>
          </w:p>
        </w:tc>
        <w:tc>
          <w:tcPr>
            <w:tcW w:w="1860" w:type="dxa"/>
            <w:tcMar>
              <w:top w:w="0" w:type="dxa"/>
              <w:bottom w:w="0" w:type="dxa"/>
            </w:tcMar>
            <w:vAlign w:val="center"/>
          </w:tcPr>
          <w:p w:rsidR="005B3C75" w:rsidRDefault="00FE5CEB">
            <w:pPr>
              <w:keepNext/>
              <w:keepLines/>
              <w:spacing w:after="0" w:line="240" w:lineRule="auto"/>
              <w:jc w:val="right"/>
            </w:pPr>
            <w:r>
              <w:rPr>
                <w:sz w:val="18"/>
              </w:rPr>
              <w:t>4.375.637,81</w:t>
            </w:r>
          </w:p>
        </w:tc>
        <w:tc>
          <w:tcPr>
            <w:tcW w:w="700" w:type="dxa"/>
            <w:tcMar>
              <w:top w:w="0" w:type="dxa"/>
              <w:bottom w:w="0" w:type="dxa"/>
            </w:tcMar>
            <w:vAlign w:val="center"/>
          </w:tcPr>
          <w:p w:rsidR="005B3C75" w:rsidRDefault="00FE5CEB">
            <w:pPr>
              <w:keepNext/>
              <w:keepLines/>
              <w:spacing w:after="0" w:line="240" w:lineRule="auto"/>
              <w:jc w:val="right"/>
            </w:pPr>
            <w:r>
              <w:rPr>
                <w:sz w:val="18"/>
              </w:rPr>
              <w:t>114,6</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5B3C75">
            <w:pPr>
              <w:keepNext/>
              <w:keepLines/>
              <w:spacing w:after="0" w:line="240" w:lineRule="auto"/>
            </w:pPr>
          </w:p>
        </w:tc>
        <w:tc>
          <w:tcPr>
            <w:tcW w:w="3180" w:type="dxa"/>
            <w:tcMar>
              <w:top w:w="0" w:type="dxa"/>
              <w:bottom w:w="0" w:type="dxa"/>
            </w:tcMar>
            <w:vAlign w:val="center"/>
          </w:tcPr>
          <w:p w:rsidR="005B3C75" w:rsidRDefault="00FE5CEB">
            <w:pPr>
              <w:keepNext/>
              <w:keepLines/>
              <w:spacing w:after="0" w:line="240" w:lineRule="auto"/>
            </w:pPr>
            <w:r>
              <w:rPr>
                <w:b/>
                <w:sz w:val="18"/>
              </w:rPr>
              <w:t>MANJAK PRIHODA POSLOVANJA (šifre Z005-6)</w:t>
            </w:r>
          </w:p>
        </w:tc>
        <w:tc>
          <w:tcPr>
            <w:tcW w:w="700" w:type="dxa"/>
            <w:tcMar>
              <w:top w:w="0" w:type="dxa"/>
              <w:bottom w:w="0" w:type="dxa"/>
            </w:tcMar>
            <w:vAlign w:val="center"/>
          </w:tcPr>
          <w:p w:rsidR="005B3C75" w:rsidRDefault="00FE5CEB">
            <w:pPr>
              <w:keepNext/>
              <w:keepLines/>
              <w:spacing w:after="0" w:line="240" w:lineRule="auto"/>
            </w:pPr>
            <w:r>
              <w:rPr>
                <w:b/>
                <w:sz w:val="18"/>
              </w:rPr>
              <w:t>Y001</w:t>
            </w:r>
          </w:p>
        </w:tc>
        <w:tc>
          <w:tcPr>
            <w:tcW w:w="1860" w:type="dxa"/>
            <w:tcMar>
              <w:top w:w="0" w:type="dxa"/>
              <w:bottom w:w="0" w:type="dxa"/>
            </w:tcMar>
            <w:vAlign w:val="center"/>
          </w:tcPr>
          <w:p w:rsidR="005B3C75" w:rsidRDefault="00FE5CEB">
            <w:pPr>
              <w:keepNext/>
              <w:keepLines/>
              <w:spacing w:after="0" w:line="240" w:lineRule="auto"/>
              <w:jc w:val="right"/>
            </w:pPr>
            <w:r>
              <w:rPr>
                <w:b/>
                <w:sz w:val="18"/>
              </w:rPr>
              <w:t>18.519,24</w:t>
            </w:r>
          </w:p>
        </w:tc>
        <w:tc>
          <w:tcPr>
            <w:tcW w:w="1860" w:type="dxa"/>
            <w:tcMar>
              <w:top w:w="0" w:type="dxa"/>
              <w:bottom w:w="0" w:type="dxa"/>
            </w:tcMar>
            <w:vAlign w:val="center"/>
          </w:tcPr>
          <w:p w:rsidR="005B3C75" w:rsidRDefault="00FE5CEB">
            <w:pPr>
              <w:keepNext/>
              <w:keepLines/>
              <w:spacing w:after="0" w:line="240" w:lineRule="auto"/>
              <w:jc w:val="right"/>
            </w:pPr>
            <w:r>
              <w:rPr>
                <w:b/>
                <w:sz w:val="18"/>
              </w:rPr>
              <w:t>281.402,93</w:t>
            </w:r>
          </w:p>
        </w:tc>
        <w:tc>
          <w:tcPr>
            <w:tcW w:w="700" w:type="dxa"/>
            <w:tcMar>
              <w:top w:w="0" w:type="dxa"/>
              <w:bottom w:w="0" w:type="dxa"/>
            </w:tcMar>
            <w:vAlign w:val="center"/>
          </w:tcPr>
          <w:p w:rsidR="005B3C75" w:rsidRDefault="00FE5CEB">
            <w:pPr>
              <w:keepNext/>
              <w:keepLines/>
              <w:spacing w:after="0" w:line="240" w:lineRule="auto"/>
              <w:jc w:val="right"/>
            </w:pPr>
            <w:r>
              <w:rPr>
                <w:b/>
                <w:sz w:val="18"/>
              </w:rPr>
              <w:t>1519,5</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7</w:t>
            </w:r>
          </w:p>
        </w:tc>
        <w:tc>
          <w:tcPr>
            <w:tcW w:w="3180" w:type="dxa"/>
            <w:tcMar>
              <w:top w:w="0" w:type="dxa"/>
              <w:bottom w:w="0" w:type="dxa"/>
            </w:tcMar>
            <w:vAlign w:val="center"/>
          </w:tcPr>
          <w:p w:rsidR="005B3C75" w:rsidRDefault="00FE5CEB">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5B3C75" w:rsidRDefault="00FE5CEB">
            <w:pPr>
              <w:keepNext/>
              <w:keepLines/>
              <w:spacing w:after="0" w:line="240" w:lineRule="auto"/>
            </w:pPr>
            <w:r>
              <w:rPr>
                <w:sz w:val="18"/>
              </w:rPr>
              <w:t>7</w:t>
            </w:r>
          </w:p>
        </w:tc>
        <w:tc>
          <w:tcPr>
            <w:tcW w:w="1860" w:type="dxa"/>
            <w:tcMar>
              <w:top w:w="0" w:type="dxa"/>
              <w:bottom w:w="0" w:type="dxa"/>
            </w:tcMar>
            <w:vAlign w:val="center"/>
          </w:tcPr>
          <w:p w:rsidR="005B3C75" w:rsidRDefault="00FE5CEB">
            <w:pPr>
              <w:keepNext/>
              <w:keepLines/>
              <w:spacing w:after="0" w:line="240" w:lineRule="auto"/>
              <w:jc w:val="right"/>
            </w:pPr>
            <w:r>
              <w:rPr>
                <w:sz w:val="18"/>
              </w:rPr>
              <w:t>0,00</w:t>
            </w:r>
          </w:p>
        </w:tc>
        <w:tc>
          <w:tcPr>
            <w:tcW w:w="1860" w:type="dxa"/>
            <w:tcMar>
              <w:top w:w="0" w:type="dxa"/>
              <w:bottom w:w="0" w:type="dxa"/>
            </w:tcMar>
            <w:vAlign w:val="center"/>
          </w:tcPr>
          <w:p w:rsidR="005B3C75" w:rsidRDefault="00FE5CEB">
            <w:pPr>
              <w:keepNext/>
              <w:keepLines/>
              <w:spacing w:after="0" w:line="240" w:lineRule="auto"/>
              <w:jc w:val="right"/>
            </w:pPr>
            <w:r>
              <w:rPr>
                <w:sz w:val="18"/>
              </w:rPr>
              <w:t>0,00</w:t>
            </w:r>
          </w:p>
        </w:tc>
        <w:tc>
          <w:tcPr>
            <w:tcW w:w="700" w:type="dxa"/>
            <w:tcMar>
              <w:top w:w="0" w:type="dxa"/>
              <w:bottom w:w="0" w:type="dxa"/>
            </w:tcMar>
            <w:vAlign w:val="center"/>
          </w:tcPr>
          <w:p w:rsidR="005B3C75" w:rsidRDefault="00FE5CEB">
            <w:pPr>
              <w:keepNext/>
              <w:keepLines/>
              <w:spacing w:after="0" w:line="240" w:lineRule="auto"/>
              <w:jc w:val="right"/>
            </w:pPr>
            <w:r>
              <w:rPr>
                <w:sz w:val="18"/>
              </w:rPr>
              <w:t>-</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4</w:t>
            </w:r>
          </w:p>
        </w:tc>
        <w:tc>
          <w:tcPr>
            <w:tcW w:w="3180" w:type="dxa"/>
            <w:tcMar>
              <w:top w:w="0" w:type="dxa"/>
              <w:bottom w:w="0" w:type="dxa"/>
            </w:tcMar>
            <w:vAlign w:val="center"/>
          </w:tcPr>
          <w:p w:rsidR="005B3C75" w:rsidRDefault="00FE5CEB">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5B3C75" w:rsidRDefault="00FE5CEB">
            <w:pPr>
              <w:keepNext/>
              <w:keepLines/>
              <w:spacing w:after="0" w:line="240" w:lineRule="auto"/>
            </w:pPr>
            <w:r>
              <w:rPr>
                <w:sz w:val="18"/>
              </w:rPr>
              <w:t>4</w:t>
            </w:r>
          </w:p>
        </w:tc>
        <w:tc>
          <w:tcPr>
            <w:tcW w:w="1860" w:type="dxa"/>
            <w:tcMar>
              <w:top w:w="0" w:type="dxa"/>
              <w:bottom w:w="0" w:type="dxa"/>
            </w:tcMar>
            <w:vAlign w:val="center"/>
          </w:tcPr>
          <w:p w:rsidR="005B3C75" w:rsidRDefault="00FE5CEB">
            <w:pPr>
              <w:keepNext/>
              <w:keepLines/>
              <w:spacing w:after="0" w:line="240" w:lineRule="auto"/>
              <w:jc w:val="right"/>
            </w:pPr>
            <w:r>
              <w:rPr>
                <w:sz w:val="18"/>
              </w:rPr>
              <w:t>5.325,43</w:t>
            </w:r>
          </w:p>
        </w:tc>
        <w:tc>
          <w:tcPr>
            <w:tcW w:w="1860" w:type="dxa"/>
            <w:tcMar>
              <w:top w:w="0" w:type="dxa"/>
              <w:bottom w:w="0" w:type="dxa"/>
            </w:tcMar>
            <w:vAlign w:val="center"/>
          </w:tcPr>
          <w:p w:rsidR="005B3C75" w:rsidRDefault="00FE5CEB">
            <w:pPr>
              <w:keepNext/>
              <w:keepLines/>
              <w:spacing w:after="0" w:line="240" w:lineRule="auto"/>
              <w:jc w:val="right"/>
            </w:pPr>
            <w:r>
              <w:rPr>
                <w:sz w:val="18"/>
              </w:rPr>
              <w:t>29.594,35</w:t>
            </w:r>
          </w:p>
        </w:tc>
        <w:tc>
          <w:tcPr>
            <w:tcW w:w="700" w:type="dxa"/>
            <w:tcMar>
              <w:top w:w="0" w:type="dxa"/>
              <w:bottom w:w="0" w:type="dxa"/>
            </w:tcMar>
            <w:vAlign w:val="center"/>
          </w:tcPr>
          <w:p w:rsidR="005B3C75" w:rsidRDefault="00FE5CEB">
            <w:pPr>
              <w:keepNext/>
              <w:keepLines/>
              <w:spacing w:after="0" w:line="240" w:lineRule="auto"/>
              <w:jc w:val="right"/>
            </w:pPr>
            <w:r>
              <w:rPr>
                <w:sz w:val="18"/>
              </w:rPr>
              <w:t>555,7</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5B3C75">
            <w:pPr>
              <w:keepNext/>
              <w:keepLines/>
              <w:spacing w:after="0" w:line="240" w:lineRule="auto"/>
            </w:pPr>
          </w:p>
        </w:tc>
        <w:tc>
          <w:tcPr>
            <w:tcW w:w="3180" w:type="dxa"/>
            <w:tcMar>
              <w:top w:w="0" w:type="dxa"/>
              <w:bottom w:w="0" w:type="dxa"/>
            </w:tcMar>
            <w:vAlign w:val="center"/>
          </w:tcPr>
          <w:p w:rsidR="005B3C75" w:rsidRDefault="00FE5CEB">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5B3C75" w:rsidRDefault="00FE5CEB">
            <w:pPr>
              <w:keepNext/>
              <w:keepLines/>
              <w:spacing w:after="0" w:line="240" w:lineRule="auto"/>
            </w:pPr>
            <w:r>
              <w:rPr>
                <w:b/>
                <w:sz w:val="18"/>
              </w:rPr>
              <w:t>Y002</w:t>
            </w:r>
          </w:p>
        </w:tc>
        <w:tc>
          <w:tcPr>
            <w:tcW w:w="1860" w:type="dxa"/>
            <w:tcMar>
              <w:top w:w="0" w:type="dxa"/>
              <w:bottom w:w="0" w:type="dxa"/>
            </w:tcMar>
            <w:vAlign w:val="center"/>
          </w:tcPr>
          <w:p w:rsidR="005B3C75" w:rsidRDefault="00FE5CEB">
            <w:pPr>
              <w:keepNext/>
              <w:keepLines/>
              <w:spacing w:after="0" w:line="240" w:lineRule="auto"/>
              <w:jc w:val="right"/>
            </w:pPr>
            <w:r>
              <w:rPr>
                <w:b/>
                <w:sz w:val="18"/>
              </w:rPr>
              <w:t>5.325,43</w:t>
            </w:r>
          </w:p>
        </w:tc>
        <w:tc>
          <w:tcPr>
            <w:tcW w:w="1860" w:type="dxa"/>
            <w:tcMar>
              <w:top w:w="0" w:type="dxa"/>
              <w:bottom w:w="0" w:type="dxa"/>
            </w:tcMar>
            <w:vAlign w:val="center"/>
          </w:tcPr>
          <w:p w:rsidR="005B3C75" w:rsidRDefault="00FE5CEB">
            <w:pPr>
              <w:keepNext/>
              <w:keepLines/>
              <w:spacing w:after="0" w:line="240" w:lineRule="auto"/>
              <w:jc w:val="right"/>
            </w:pPr>
            <w:r>
              <w:rPr>
                <w:b/>
                <w:sz w:val="18"/>
              </w:rPr>
              <w:t>29.594,35</w:t>
            </w:r>
          </w:p>
        </w:tc>
        <w:tc>
          <w:tcPr>
            <w:tcW w:w="700" w:type="dxa"/>
            <w:tcMar>
              <w:top w:w="0" w:type="dxa"/>
              <w:bottom w:w="0" w:type="dxa"/>
            </w:tcMar>
            <w:vAlign w:val="center"/>
          </w:tcPr>
          <w:p w:rsidR="005B3C75" w:rsidRDefault="00FE5CEB">
            <w:pPr>
              <w:keepNext/>
              <w:keepLines/>
              <w:spacing w:after="0" w:line="240" w:lineRule="auto"/>
              <w:jc w:val="right"/>
            </w:pPr>
            <w:r>
              <w:rPr>
                <w:b/>
                <w:sz w:val="18"/>
              </w:rPr>
              <w:t>555,7</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8</w:t>
            </w:r>
          </w:p>
        </w:tc>
        <w:tc>
          <w:tcPr>
            <w:tcW w:w="3180" w:type="dxa"/>
            <w:tcMar>
              <w:top w:w="0" w:type="dxa"/>
              <w:bottom w:w="0" w:type="dxa"/>
            </w:tcMar>
            <w:vAlign w:val="center"/>
          </w:tcPr>
          <w:p w:rsidR="005B3C75" w:rsidRDefault="00FE5CEB">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5B3C75" w:rsidRDefault="00FE5CEB">
            <w:pPr>
              <w:keepNext/>
              <w:keepLines/>
              <w:spacing w:after="0" w:line="240" w:lineRule="auto"/>
            </w:pPr>
            <w:r>
              <w:rPr>
                <w:sz w:val="18"/>
              </w:rPr>
              <w:t>8</w:t>
            </w:r>
          </w:p>
        </w:tc>
        <w:tc>
          <w:tcPr>
            <w:tcW w:w="1860" w:type="dxa"/>
            <w:tcMar>
              <w:top w:w="0" w:type="dxa"/>
              <w:bottom w:w="0" w:type="dxa"/>
            </w:tcMar>
            <w:vAlign w:val="center"/>
          </w:tcPr>
          <w:p w:rsidR="005B3C75" w:rsidRDefault="00FE5CEB">
            <w:pPr>
              <w:keepNext/>
              <w:keepLines/>
              <w:spacing w:after="0" w:line="240" w:lineRule="auto"/>
              <w:jc w:val="right"/>
            </w:pPr>
            <w:r>
              <w:rPr>
                <w:sz w:val="18"/>
              </w:rPr>
              <w:t>0,00</w:t>
            </w:r>
          </w:p>
        </w:tc>
        <w:tc>
          <w:tcPr>
            <w:tcW w:w="1860" w:type="dxa"/>
            <w:tcMar>
              <w:top w:w="0" w:type="dxa"/>
              <w:bottom w:w="0" w:type="dxa"/>
            </w:tcMar>
            <w:vAlign w:val="center"/>
          </w:tcPr>
          <w:p w:rsidR="005B3C75" w:rsidRDefault="00FE5CEB">
            <w:pPr>
              <w:keepNext/>
              <w:keepLines/>
              <w:spacing w:after="0" w:line="240" w:lineRule="auto"/>
              <w:jc w:val="right"/>
            </w:pPr>
            <w:r>
              <w:rPr>
                <w:sz w:val="18"/>
              </w:rPr>
              <w:t>0,00</w:t>
            </w:r>
          </w:p>
        </w:tc>
        <w:tc>
          <w:tcPr>
            <w:tcW w:w="700" w:type="dxa"/>
            <w:tcMar>
              <w:top w:w="0" w:type="dxa"/>
              <w:bottom w:w="0" w:type="dxa"/>
            </w:tcMar>
            <w:vAlign w:val="center"/>
          </w:tcPr>
          <w:p w:rsidR="005B3C75" w:rsidRDefault="00FE5CEB">
            <w:pPr>
              <w:keepNext/>
              <w:keepLines/>
              <w:spacing w:after="0" w:line="240" w:lineRule="auto"/>
              <w:jc w:val="right"/>
            </w:pPr>
            <w:r>
              <w:rPr>
                <w:sz w:val="18"/>
              </w:rPr>
              <w:t>-</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5</w:t>
            </w:r>
          </w:p>
        </w:tc>
        <w:tc>
          <w:tcPr>
            <w:tcW w:w="3180" w:type="dxa"/>
            <w:tcMar>
              <w:top w:w="0" w:type="dxa"/>
              <w:bottom w:w="0" w:type="dxa"/>
            </w:tcMar>
            <w:vAlign w:val="center"/>
          </w:tcPr>
          <w:p w:rsidR="005B3C75" w:rsidRDefault="00FE5CEB">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5B3C75" w:rsidRDefault="00FE5CEB">
            <w:pPr>
              <w:keepNext/>
              <w:keepLines/>
              <w:spacing w:after="0" w:line="240" w:lineRule="auto"/>
            </w:pPr>
            <w:r>
              <w:rPr>
                <w:sz w:val="18"/>
              </w:rPr>
              <w:t>5</w:t>
            </w:r>
          </w:p>
        </w:tc>
        <w:tc>
          <w:tcPr>
            <w:tcW w:w="1860" w:type="dxa"/>
            <w:tcMar>
              <w:top w:w="0" w:type="dxa"/>
              <w:bottom w:w="0" w:type="dxa"/>
            </w:tcMar>
            <w:vAlign w:val="center"/>
          </w:tcPr>
          <w:p w:rsidR="005B3C75" w:rsidRDefault="00FE5CEB">
            <w:pPr>
              <w:keepNext/>
              <w:keepLines/>
              <w:spacing w:after="0" w:line="240" w:lineRule="auto"/>
              <w:jc w:val="right"/>
            </w:pPr>
            <w:r>
              <w:rPr>
                <w:sz w:val="18"/>
              </w:rPr>
              <w:t>0,00</w:t>
            </w:r>
          </w:p>
        </w:tc>
        <w:tc>
          <w:tcPr>
            <w:tcW w:w="1860" w:type="dxa"/>
            <w:tcMar>
              <w:top w:w="0" w:type="dxa"/>
              <w:bottom w:w="0" w:type="dxa"/>
            </w:tcMar>
            <w:vAlign w:val="center"/>
          </w:tcPr>
          <w:p w:rsidR="005B3C75" w:rsidRDefault="00FE5CEB">
            <w:pPr>
              <w:keepNext/>
              <w:keepLines/>
              <w:spacing w:after="0" w:line="240" w:lineRule="auto"/>
              <w:jc w:val="right"/>
            </w:pPr>
            <w:r>
              <w:rPr>
                <w:sz w:val="18"/>
              </w:rPr>
              <w:t>0,00</w:t>
            </w:r>
          </w:p>
        </w:tc>
        <w:tc>
          <w:tcPr>
            <w:tcW w:w="700" w:type="dxa"/>
            <w:tcMar>
              <w:top w:w="0" w:type="dxa"/>
              <w:bottom w:w="0" w:type="dxa"/>
            </w:tcMar>
            <w:vAlign w:val="center"/>
          </w:tcPr>
          <w:p w:rsidR="005B3C75" w:rsidRDefault="00FE5CEB">
            <w:pPr>
              <w:keepNext/>
              <w:keepLines/>
              <w:spacing w:after="0" w:line="240" w:lineRule="auto"/>
              <w:jc w:val="right"/>
            </w:pPr>
            <w:r>
              <w:rPr>
                <w:sz w:val="18"/>
              </w:rPr>
              <w:t>-</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5B3C75">
            <w:pPr>
              <w:keepNext/>
              <w:keepLines/>
              <w:spacing w:after="0" w:line="240" w:lineRule="auto"/>
            </w:pPr>
          </w:p>
        </w:tc>
        <w:tc>
          <w:tcPr>
            <w:tcW w:w="3180" w:type="dxa"/>
            <w:tcMar>
              <w:top w:w="0" w:type="dxa"/>
              <w:bottom w:w="0" w:type="dxa"/>
            </w:tcMar>
            <w:vAlign w:val="center"/>
          </w:tcPr>
          <w:p w:rsidR="005B3C75" w:rsidRDefault="00FE5CEB">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5B3C75" w:rsidRDefault="00FE5CEB">
            <w:pPr>
              <w:keepNext/>
              <w:keepLines/>
              <w:spacing w:after="0" w:line="240" w:lineRule="auto"/>
            </w:pPr>
            <w:r>
              <w:rPr>
                <w:b/>
                <w:sz w:val="18"/>
              </w:rPr>
              <w:t>X003, Y003</w:t>
            </w:r>
          </w:p>
        </w:tc>
        <w:tc>
          <w:tcPr>
            <w:tcW w:w="1860" w:type="dxa"/>
            <w:tcMar>
              <w:top w:w="0" w:type="dxa"/>
              <w:bottom w:w="0" w:type="dxa"/>
            </w:tcMar>
            <w:vAlign w:val="center"/>
          </w:tcPr>
          <w:p w:rsidR="005B3C75" w:rsidRDefault="00FE5CEB">
            <w:pPr>
              <w:keepNext/>
              <w:keepLines/>
              <w:spacing w:after="0" w:line="240" w:lineRule="auto"/>
              <w:jc w:val="right"/>
            </w:pPr>
            <w:r>
              <w:rPr>
                <w:b/>
                <w:sz w:val="18"/>
              </w:rPr>
              <w:t>0,00</w:t>
            </w:r>
          </w:p>
        </w:tc>
        <w:tc>
          <w:tcPr>
            <w:tcW w:w="1860" w:type="dxa"/>
            <w:tcMar>
              <w:top w:w="0" w:type="dxa"/>
              <w:bottom w:w="0" w:type="dxa"/>
            </w:tcMar>
            <w:vAlign w:val="center"/>
          </w:tcPr>
          <w:p w:rsidR="005B3C75" w:rsidRDefault="00FE5CEB">
            <w:pPr>
              <w:keepNext/>
              <w:keepLines/>
              <w:spacing w:after="0" w:line="240" w:lineRule="auto"/>
              <w:jc w:val="right"/>
            </w:pPr>
            <w:r>
              <w:rPr>
                <w:b/>
                <w:sz w:val="18"/>
              </w:rPr>
              <w:t>0,00</w:t>
            </w:r>
          </w:p>
        </w:tc>
        <w:tc>
          <w:tcPr>
            <w:tcW w:w="700" w:type="dxa"/>
            <w:tcMar>
              <w:top w:w="0" w:type="dxa"/>
              <w:bottom w:w="0" w:type="dxa"/>
            </w:tcMar>
            <w:vAlign w:val="center"/>
          </w:tcPr>
          <w:p w:rsidR="005B3C75" w:rsidRDefault="00FE5CEB">
            <w:pPr>
              <w:keepNext/>
              <w:keepLines/>
              <w:spacing w:after="0" w:line="240" w:lineRule="auto"/>
              <w:jc w:val="right"/>
            </w:pPr>
            <w:r>
              <w:rPr>
                <w:b/>
                <w:sz w:val="18"/>
              </w:rPr>
              <w:t>-</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5B3C75">
            <w:pPr>
              <w:keepNext/>
              <w:keepLines/>
              <w:spacing w:after="0" w:line="240" w:lineRule="auto"/>
            </w:pPr>
          </w:p>
        </w:tc>
        <w:tc>
          <w:tcPr>
            <w:tcW w:w="3180" w:type="dxa"/>
            <w:tcMar>
              <w:top w:w="0" w:type="dxa"/>
              <w:bottom w:w="0" w:type="dxa"/>
            </w:tcMar>
            <w:vAlign w:val="center"/>
          </w:tcPr>
          <w:p w:rsidR="005B3C75" w:rsidRDefault="00FE5CEB">
            <w:pPr>
              <w:keepNext/>
              <w:keepLines/>
              <w:spacing w:after="0" w:line="240" w:lineRule="auto"/>
            </w:pPr>
            <w:r>
              <w:rPr>
                <w:b/>
                <w:sz w:val="18"/>
              </w:rPr>
              <w:t>MANJAK PRIHODA I PRIMITAKA (šifre Y345-X678)</w:t>
            </w:r>
          </w:p>
        </w:tc>
        <w:tc>
          <w:tcPr>
            <w:tcW w:w="700" w:type="dxa"/>
            <w:tcMar>
              <w:top w:w="0" w:type="dxa"/>
              <w:bottom w:w="0" w:type="dxa"/>
            </w:tcMar>
            <w:vAlign w:val="center"/>
          </w:tcPr>
          <w:p w:rsidR="005B3C75" w:rsidRDefault="00FE5CEB">
            <w:pPr>
              <w:keepNext/>
              <w:keepLines/>
              <w:spacing w:after="0" w:line="240" w:lineRule="auto"/>
            </w:pPr>
            <w:r>
              <w:rPr>
                <w:b/>
                <w:sz w:val="18"/>
              </w:rPr>
              <w:t>Y005</w:t>
            </w:r>
          </w:p>
        </w:tc>
        <w:tc>
          <w:tcPr>
            <w:tcW w:w="1860" w:type="dxa"/>
            <w:tcMar>
              <w:top w:w="0" w:type="dxa"/>
              <w:bottom w:w="0" w:type="dxa"/>
            </w:tcMar>
            <w:vAlign w:val="center"/>
          </w:tcPr>
          <w:p w:rsidR="005B3C75" w:rsidRDefault="00FE5CEB">
            <w:pPr>
              <w:keepNext/>
              <w:keepLines/>
              <w:spacing w:after="0" w:line="240" w:lineRule="auto"/>
              <w:jc w:val="right"/>
            </w:pPr>
            <w:r>
              <w:rPr>
                <w:b/>
                <w:sz w:val="18"/>
              </w:rPr>
              <w:t>23.844,67</w:t>
            </w:r>
          </w:p>
        </w:tc>
        <w:tc>
          <w:tcPr>
            <w:tcW w:w="1860" w:type="dxa"/>
            <w:tcMar>
              <w:top w:w="0" w:type="dxa"/>
              <w:bottom w:w="0" w:type="dxa"/>
            </w:tcMar>
            <w:vAlign w:val="center"/>
          </w:tcPr>
          <w:p w:rsidR="005B3C75" w:rsidRDefault="00FE5CEB">
            <w:pPr>
              <w:keepNext/>
              <w:keepLines/>
              <w:spacing w:after="0" w:line="240" w:lineRule="auto"/>
              <w:jc w:val="right"/>
            </w:pPr>
            <w:r>
              <w:rPr>
                <w:b/>
                <w:sz w:val="18"/>
              </w:rPr>
              <w:t>310.997,28</w:t>
            </w:r>
          </w:p>
        </w:tc>
        <w:tc>
          <w:tcPr>
            <w:tcW w:w="700" w:type="dxa"/>
            <w:tcMar>
              <w:top w:w="0" w:type="dxa"/>
              <w:bottom w:w="0" w:type="dxa"/>
            </w:tcMar>
            <w:vAlign w:val="center"/>
          </w:tcPr>
          <w:p w:rsidR="005B3C75" w:rsidRDefault="00FE5CEB">
            <w:pPr>
              <w:keepNext/>
              <w:keepLines/>
              <w:spacing w:after="0" w:line="240" w:lineRule="auto"/>
              <w:jc w:val="right"/>
            </w:pPr>
            <w:r>
              <w:rPr>
                <w:b/>
                <w:sz w:val="18"/>
              </w:rPr>
              <w:t>1304,3</w:t>
            </w:r>
          </w:p>
        </w:tc>
      </w:tr>
    </w:tbl>
    <w:p w:rsidR="005B3C75" w:rsidRDefault="005B3C75">
      <w:pPr>
        <w:spacing w:after="0"/>
      </w:pPr>
    </w:p>
    <w:p w:rsidR="005B3C75" w:rsidRDefault="00FE5CEB">
      <w:r>
        <w:lastRenderedPageBreak/>
        <w:t>Osnovna škola KŠ Gjalski Zabok posluje u skladu sa Zakonom o odgoju i obrazovanju u osnovnoj i srednjoj školi te Statutom škole te vodi proračunsko računovodstvo temeljem Pravilnika o proračunskom računovodstvu i Računskom planu, a financijske izvještaje s</w:t>
      </w:r>
      <w:r>
        <w:t>astavlja i predaje u skladu s odredbama Pravilnika o financijskom izvještavanju u proračunskom računovodstvu. Financijsko poslovanje izvršeno je u skladu s propisima i financijskim mogućnostima. Škola više ne posluje preko vlastitog  žiro-račun već preko j</w:t>
      </w:r>
      <w:r>
        <w:t>edinstvenog računa riznice KZŽ na koji pristižu sredstva i vodi se zajedničko knjigovodstvo na analitički odvojenim kontima i prema izvoru financiranja. Prosječan broj zaposlenih u školi u 2025. godini bio je 123.</w:t>
      </w:r>
    </w:p>
    <w:p w:rsidR="005B3C75" w:rsidRDefault="00FE5CEB">
      <w:r>
        <w:t>U izvještajnom razdoblju od 1. siječnja do</w:t>
      </w:r>
      <w:r>
        <w:t xml:space="preserve"> 31. prosinca 2025. godine nastao je manjak prihoda i primitaka zbog povećanja rashoda za zaposlene jer je prema novom Pravilniku o proračunskom računovodstvu i računskom planu ukinuta podskupina 193 kontinuirani rashodi poslovanja, zbog kojeg u tekućem ra</w:t>
      </w:r>
      <w:r>
        <w:t>zdoblju imamo knjiženo trinaest troškova plaće u odnosu na prošlogodišnjih dvanaest za isto razdoblje. Na manjak prihoda i primitaka osim plaće utjecali su i rashodi za nabavu materijala i obavljanja usluga. </w:t>
      </w:r>
      <w:r>
        <w:br/>
      </w:r>
      <w:r>
        <w:br/>
      </w:r>
    </w:p>
    <w:p w:rsidR="005B3C75" w:rsidRDefault="00FE5CEB">
      <w:pPr>
        <w:keepNext/>
        <w:spacing w:line="240" w:lineRule="auto"/>
        <w:jc w:val="center"/>
      </w:pPr>
      <w:r>
        <w:rPr>
          <w:sz w:val="28"/>
        </w:rPr>
        <w:t>Bilješka 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638</w:t>
            </w:r>
          </w:p>
        </w:tc>
        <w:tc>
          <w:tcPr>
            <w:tcW w:w="3180" w:type="dxa"/>
            <w:tcMar>
              <w:top w:w="0" w:type="dxa"/>
              <w:bottom w:w="0" w:type="dxa"/>
            </w:tcMar>
            <w:vAlign w:val="center"/>
          </w:tcPr>
          <w:p w:rsidR="005B3C75" w:rsidRDefault="00FE5CEB">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5B3C75" w:rsidRDefault="00FE5CEB">
            <w:pPr>
              <w:keepNext/>
              <w:keepLines/>
              <w:spacing w:after="0" w:line="240" w:lineRule="auto"/>
            </w:pPr>
            <w:r>
              <w:rPr>
                <w:sz w:val="18"/>
              </w:rPr>
              <w:t>638</w:t>
            </w:r>
          </w:p>
        </w:tc>
        <w:tc>
          <w:tcPr>
            <w:tcW w:w="1860" w:type="dxa"/>
            <w:tcMar>
              <w:top w:w="0" w:type="dxa"/>
              <w:bottom w:w="0" w:type="dxa"/>
            </w:tcMar>
            <w:vAlign w:val="center"/>
          </w:tcPr>
          <w:p w:rsidR="005B3C75" w:rsidRDefault="00FE5CEB">
            <w:pPr>
              <w:keepNext/>
              <w:keepLines/>
              <w:spacing w:after="0" w:line="240" w:lineRule="auto"/>
              <w:jc w:val="right"/>
            </w:pPr>
            <w:r>
              <w:rPr>
                <w:sz w:val="18"/>
              </w:rPr>
              <w:t>0,00</w:t>
            </w:r>
          </w:p>
        </w:tc>
        <w:tc>
          <w:tcPr>
            <w:tcW w:w="1860" w:type="dxa"/>
            <w:tcMar>
              <w:top w:w="0" w:type="dxa"/>
              <w:bottom w:w="0" w:type="dxa"/>
            </w:tcMar>
            <w:vAlign w:val="center"/>
          </w:tcPr>
          <w:p w:rsidR="005B3C75" w:rsidRDefault="00FE5CEB">
            <w:pPr>
              <w:keepNext/>
              <w:keepLines/>
              <w:spacing w:after="0" w:line="240" w:lineRule="auto"/>
              <w:jc w:val="right"/>
            </w:pPr>
            <w:r>
              <w:rPr>
                <w:sz w:val="18"/>
              </w:rPr>
              <w:t>29.156,00</w:t>
            </w:r>
          </w:p>
        </w:tc>
        <w:tc>
          <w:tcPr>
            <w:tcW w:w="700" w:type="dxa"/>
            <w:tcMar>
              <w:top w:w="0" w:type="dxa"/>
              <w:bottom w:w="0" w:type="dxa"/>
            </w:tcMar>
            <w:vAlign w:val="center"/>
          </w:tcPr>
          <w:p w:rsidR="005B3C75" w:rsidRDefault="00FE5CEB">
            <w:pPr>
              <w:keepNext/>
              <w:keepLines/>
              <w:spacing w:after="0" w:line="240" w:lineRule="auto"/>
              <w:jc w:val="right"/>
            </w:pPr>
            <w:r>
              <w:rPr>
                <w:sz w:val="18"/>
              </w:rPr>
              <w:t>-</w:t>
            </w:r>
          </w:p>
        </w:tc>
      </w:tr>
    </w:tbl>
    <w:p w:rsidR="005B3C75" w:rsidRDefault="005B3C75">
      <w:pPr>
        <w:spacing w:after="0"/>
      </w:pPr>
    </w:p>
    <w:p w:rsidR="005B3C75" w:rsidRDefault="00FE5CEB">
      <w:r>
        <w:t xml:space="preserve">Račun  Pomoći temeljem prijenosa EU sredstava odnosi se na sredstva dobivena za provedbu programa </w:t>
      </w:r>
      <w:proofErr w:type="spellStart"/>
      <w:r>
        <w:t>Ersmus</w:t>
      </w:r>
      <w:proofErr w:type="spellEnd"/>
      <w:r>
        <w:t>+.</w:t>
      </w:r>
    </w:p>
    <w:p w:rsidR="005B3C75" w:rsidRDefault="005B3C75"/>
    <w:p w:rsidR="005B3C75" w:rsidRDefault="00FE5CEB">
      <w:pPr>
        <w:keepNext/>
        <w:spacing w:line="240" w:lineRule="auto"/>
        <w:jc w:val="center"/>
      </w:pPr>
      <w:r>
        <w:rPr>
          <w:sz w:val="28"/>
        </w:rPr>
        <w:t>Bilješka 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w:t>
            </w:r>
            <w:r>
              <w:rPr>
                <w:b/>
                <w:sz w:val="18"/>
              </w:rPr>
              <w:t>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6526</w:t>
            </w:r>
          </w:p>
        </w:tc>
        <w:tc>
          <w:tcPr>
            <w:tcW w:w="3180" w:type="dxa"/>
            <w:tcMar>
              <w:top w:w="0" w:type="dxa"/>
              <w:bottom w:w="0" w:type="dxa"/>
            </w:tcMar>
            <w:vAlign w:val="center"/>
          </w:tcPr>
          <w:p w:rsidR="005B3C75" w:rsidRDefault="00FE5CEB">
            <w:pPr>
              <w:keepNext/>
              <w:keepLines/>
              <w:spacing w:after="0" w:line="240" w:lineRule="auto"/>
            </w:pPr>
            <w:r>
              <w:rPr>
                <w:sz w:val="18"/>
              </w:rPr>
              <w:t>Ostali nespomenuti prihodi</w:t>
            </w:r>
          </w:p>
        </w:tc>
        <w:tc>
          <w:tcPr>
            <w:tcW w:w="700" w:type="dxa"/>
            <w:tcMar>
              <w:top w:w="0" w:type="dxa"/>
              <w:bottom w:w="0" w:type="dxa"/>
            </w:tcMar>
            <w:vAlign w:val="center"/>
          </w:tcPr>
          <w:p w:rsidR="005B3C75" w:rsidRDefault="00FE5CEB">
            <w:pPr>
              <w:keepNext/>
              <w:keepLines/>
              <w:spacing w:after="0" w:line="240" w:lineRule="auto"/>
            </w:pPr>
            <w:r>
              <w:rPr>
                <w:sz w:val="18"/>
              </w:rPr>
              <w:t>6526</w:t>
            </w:r>
          </w:p>
        </w:tc>
        <w:tc>
          <w:tcPr>
            <w:tcW w:w="1860" w:type="dxa"/>
            <w:tcMar>
              <w:top w:w="0" w:type="dxa"/>
              <w:bottom w:w="0" w:type="dxa"/>
            </w:tcMar>
            <w:vAlign w:val="center"/>
          </w:tcPr>
          <w:p w:rsidR="005B3C75" w:rsidRDefault="00FE5CEB">
            <w:pPr>
              <w:keepNext/>
              <w:keepLines/>
              <w:spacing w:after="0" w:line="240" w:lineRule="auto"/>
              <w:jc w:val="right"/>
            </w:pPr>
            <w:r>
              <w:rPr>
                <w:sz w:val="18"/>
              </w:rPr>
              <w:t>109.030,68</w:t>
            </w:r>
          </w:p>
        </w:tc>
        <w:tc>
          <w:tcPr>
            <w:tcW w:w="1860" w:type="dxa"/>
            <w:tcMar>
              <w:top w:w="0" w:type="dxa"/>
              <w:bottom w:w="0" w:type="dxa"/>
            </w:tcMar>
            <w:vAlign w:val="center"/>
          </w:tcPr>
          <w:p w:rsidR="005B3C75" w:rsidRDefault="00FE5CEB">
            <w:pPr>
              <w:keepNext/>
              <w:keepLines/>
              <w:spacing w:after="0" w:line="240" w:lineRule="auto"/>
              <w:jc w:val="right"/>
            </w:pPr>
            <w:r>
              <w:rPr>
                <w:sz w:val="18"/>
              </w:rPr>
              <w:t>89.107,04</w:t>
            </w:r>
          </w:p>
        </w:tc>
        <w:tc>
          <w:tcPr>
            <w:tcW w:w="700" w:type="dxa"/>
            <w:tcMar>
              <w:top w:w="0" w:type="dxa"/>
              <w:bottom w:w="0" w:type="dxa"/>
            </w:tcMar>
            <w:vAlign w:val="center"/>
          </w:tcPr>
          <w:p w:rsidR="005B3C75" w:rsidRDefault="00FE5CEB">
            <w:pPr>
              <w:keepNext/>
              <w:keepLines/>
              <w:spacing w:after="0" w:line="240" w:lineRule="auto"/>
              <w:jc w:val="right"/>
            </w:pPr>
            <w:r>
              <w:rPr>
                <w:sz w:val="18"/>
              </w:rPr>
              <w:t>81,7</w:t>
            </w:r>
          </w:p>
        </w:tc>
      </w:tr>
    </w:tbl>
    <w:p w:rsidR="005B3C75" w:rsidRDefault="005B3C75">
      <w:pPr>
        <w:spacing w:after="0"/>
      </w:pPr>
    </w:p>
    <w:p w:rsidR="005B3C75" w:rsidRDefault="00FE5CEB">
      <w:r>
        <w:t>Račun Ostali nespomenuti prihodi odnosi se na prihode od uplata roditelja za Glazbenu školu i Produženi boravak. </w:t>
      </w:r>
    </w:p>
    <w:p w:rsidR="005B3C75" w:rsidRDefault="00FE5CEB">
      <w:r>
        <w:t>Smanjenje prihoda u odnosu na prethodnu godinu djelomično je posljedica nenaplaćenih potraživanja koja na dan 31.12.2025 po navedenoj usluzi iznose 8.945,50 EUR te zbog manjeg opsega dodatnih programa i aktivnosti škole.</w:t>
      </w:r>
    </w:p>
    <w:p w:rsidR="005B3C75" w:rsidRDefault="005B3C75"/>
    <w:p w:rsidR="005B3C75" w:rsidRDefault="00FE5CEB">
      <w:pPr>
        <w:keepNext/>
        <w:spacing w:line="240" w:lineRule="auto"/>
        <w:jc w:val="center"/>
      </w:pPr>
      <w:r>
        <w:rPr>
          <w:sz w:val="28"/>
        </w:rPr>
        <w:lastRenderedPageBreak/>
        <w:t>Bilješka 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w:t>
            </w:r>
            <w:r>
              <w:rPr>
                <w:b/>
                <w:sz w:val="18"/>
              </w:rPr>
              <w:t>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6631</w:t>
            </w:r>
          </w:p>
        </w:tc>
        <w:tc>
          <w:tcPr>
            <w:tcW w:w="3180" w:type="dxa"/>
            <w:tcMar>
              <w:top w:w="0" w:type="dxa"/>
              <w:bottom w:w="0" w:type="dxa"/>
            </w:tcMar>
            <w:vAlign w:val="center"/>
          </w:tcPr>
          <w:p w:rsidR="005B3C75" w:rsidRDefault="00FE5CEB">
            <w:pPr>
              <w:keepNext/>
              <w:keepLines/>
              <w:spacing w:after="0" w:line="240" w:lineRule="auto"/>
            </w:pPr>
            <w:r>
              <w:rPr>
                <w:sz w:val="18"/>
              </w:rPr>
              <w:t>Tekuće donacije</w:t>
            </w:r>
          </w:p>
        </w:tc>
        <w:tc>
          <w:tcPr>
            <w:tcW w:w="700" w:type="dxa"/>
            <w:tcMar>
              <w:top w:w="0" w:type="dxa"/>
              <w:bottom w:w="0" w:type="dxa"/>
            </w:tcMar>
            <w:vAlign w:val="center"/>
          </w:tcPr>
          <w:p w:rsidR="005B3C75" w:rsidRDefault="00FE5CEB">
            <w:pPr>
              <w:keepNext/>
              <w:keepLines/>
              <w:spacing w:after="0" w:line="240" w:lineRule="auto"/>
            </w:pPr>
            <w:r>
              <w:rPr>
                <w:sz w:val="18"/>
              </w:rPr>
              <w:t>6631</w:t>
            </w:r>
          </w:p>
        </w:tc>
        <w:tc>
          <w:tcPr>
            <w:tcW w:w="1860" w:type="dxa"/>
            <w:tcMar>
              <w:top w:w="0" w:type="dxa"/>
              <w:bottom w:w="0" w:type="dxa"/>
            </w:tcMar>
            <w:vAlign w:val="center"/>
          </w:tcPr>
          <w:p w:rsidR="005B3C75" w:rsidRDefault="00FE5CEB">
            <w:pPr>
              <w:keepNext/>
              <w:keepLines/>
              <w:spacing w:after="0" w:line="240" w:lineRule="auto"/>
              <w:jc w:val="right"/>
            </w:pPr>
            <w:r>
              <w:rPr>
                <w:sz w:val="18"/>
              </w:rPr>
              <w:t>1.000,00</w:t>
            </w:r>
          </w:p>
        </w:tc>
        <w:tc>
          <w:tcPr>
            <w:tcW w:w="1860" w:type="dxa"/>
            <w:tcMar>
              <w:top w:w="0" w:type="dxa"/>
              <w:bottom w:w="0" w:type="dxa"/>
            </w:tcMar>
            <w:vAlign w:val="center"/>
          </w:tcPr>
          <w:p w:rsidR="005B3C75" w:rsidRDefault="00FE5CEB">
            <w:pPr>
              <w:keepNext/>
              <w:keepLines/>
              <w:spacing w:after="0" w:line="240" w:lineRule="auto"/>
              <w:jc w:val="right"/>
            </w:pPr>
            <w:r>
              <w:rPr>
                <w:sz w:val="18"/>
              </w:rPr>
              <w:t>3.751,00</w:t>
            </w:r>
          </w:p>
        </w:tc>
        <w:tc>
          <w:tcPr>
            <w:tcW w:w="700" w:type="dxa"/>
            <w:tcMar>
              <w:top w:w="0" w:type="dxa"/>
              <w:bottom w:w="0" w:type="dxa"/>
            </w:tcMar>
            <w:vAlign w:val="center"/>
          </w:tcPr>
          <w:p w:rsidR="005B3C75" w:rsidRDefault="00FE5CEB">
            <w:pPr>
              <w:keepNext/>
              <w:keepLines/>
              <w:spacing w:after="0" w:line="240" w:lineRule="auto"/>
              <w:jc w:val="right"/>
            </w:pPr>
            <w:r>
              <w:rPr>
                <w:sz w:val="18"/>
              </w:rPr>
              <w:t>375,1</w:t>
            </w:r>
          </w:p>
        </w:tc>
      </w:tr>
    </w:tbl>
    <w:p w:rsidR="005B3C75" w:rsidRDefault="005B3C75">
      <w:pPr>
        <w:spacing w:after="0"/>
      </w:pPr>
    </w:p>
    <w:p w:rsidR="005B3C75" w:rsidRDefault="00FE5CEB">
      <w:r>
        <w:t>Račun tekuće donacije odnosi se na donacije koje smo zaprimili od  ostalih subjekta iz humanitarne priredbe Kad se male ruke slože i projekta Solidarnost na djelu 2025 - OŠ K.S.Đ. Zabok </w:t>
      </w:r>
    </w:p>
    <w:p w:rsidR="005B3C75" w:rsidRDefault="005B3C75"/>
    <w:p w:rsidR="005B3C75" w:rsidRDefault="00FE5CEB">
      <w:pPr>
        <w:keepNext/>
        <w:spacing w:line="240" w:lineRule="auto"/>
        <w:jc w:val="center"/>
      </w:pPr>
      <w:r>
        <w:rPr>
          <w:sz w:val="28"/>
        </w:rPr>
        <w:t>Bilješka 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w:t>
            </w:r>
            <w:r>
              <w:rPr>
                <w:b/>
                <w:sz w:val="18"/>
              </w:rPr>
              <w:t>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31</w:t>
            </w:r>
          </w:p>
        </w:tc>
        <w:tc>
          <w:tcPr>
            <w:tcW w:w="3180" w:type="dxa"/>
            <w:tcMar>
              <w:top w:w="0" w:type="dxa"/>
              <w:bottom w:w="0" w:type="dxa"/>
            </w:tcMar>
            <w:vAlign w:val="center"/>
          </w:tcPr>
          <w:p w:rsidR="005B3C75" w:rsidRDefault="00FE5CEB">
            <w:pPr>
              <w:keepNext/>
              <w:keepLines/>
              <w:spacing w:after="0" w:line="240" w:lineRule="auto"/>
            </w:pPr>
            <w:r>
              <w:rPr>
                <w:sz w:val="18"/>
              </w:rPr>
              <w:t>Rashodi za zaposlene (šifre 311+312+313)</w:t>
            </w:r>
          </w:p>
        </w:tc>
        <w:tc>
          <w:tcPr>
            <w:tcW w:w="700" w:type="dxa"/>
            <w:tcMar>
              <w:top w:w="0" w:type="dxa"/>
              <w:bottom w:w="0" w:type="dxa"/>
            </w:tcMar>
            <w:vAlign w:val="center"/>
          </w:tcPr>
          <w:p w:rsidR="005B3C75" w:rsidRDefault="00FE5CEB">
            <w:pPr>
              <w:keepNext/>
              <w:keepLines/>
              <w:spacing w:after="0" w:line="240" w:lineRule="auto"/>
            </w:pPr>
            <w:r>
              <w:rPr>
                <w:sz w:val="18"/>
              </w:rPr>
              <w:t>31</w:t>
            </w:r>
          </w:p>
        </w:tc>
        <w:tc>
          <w:tcPr>
            <w:tcW w:w="1860" w:type="dxa"/>
            <w:tcMar>
              <w:top w:w="0" w:type="dxa"/>
              <w:bottom w:w="0" w:type="dxa"/>
            </w:tcMar>
            <w:vAlign w:val="center"/>
          </w:tcPr>
          <w:p w:rsidR="005B3C75" w:rsidRDefault="00FE5CEB">
            <w:pPr>
              <w:keepNext/>
              <w:keepLines/>
              <w:spacing w:after="0" w:line="240" w:lineRule="auto"/>
              <w:jc w:val="right"/>
            </w:pPr>
            <w:r>
              <w:rPr>
                <w:sz w:val="18"/>
              </w:rPr>
              <w:t>3.212.547,82</w:t>
            </w:r>
          </w:p>
        </w:tc>
        <w:tc>
          <w:tcPr>
            <w:tcW w:w="1860" w:type="dxa"/>
            <w:tcMar>
              <w:top w:w="0" w:type="dxa"/>
              <w:bottom w:w="0" w:type="dxa"/>
            </w:tcMar>
            <w:vAlign w:val="center"/>
          </w:tcPr>
          <w:p w:rsidR="005B3C75" w:rsidRDefault="00FE5CEB">
            <w:pPr>
              <w:keepNext/>
              <w:keepLines/>
              <w:spacing w:after="0" w:line="240" w:lineRule="auto"/>
              <w:jc w:val="right"/>
            </w:pPr>
            <w:r>
              <w:rPr>
                <w:sz w:val="18"/>
              </w:rPr>
              <w:t>3.900.193,36</w:t>
            </w:r>
          </w:p>
        </w:tc>
        <w:tc>
          <w:tcPr>
            <w:tcW w:w="700" w:type="dxa"/>
            <w:tcMar>
              <w:top w:w="0" w:type="dxa"/>
              <w:bottom w:w="0" w:type="dxa"/>
            </w:tcMar>
            <w:vAlign w:val="center"/>
          </w:tcPr>
          <w:p w:rsidR="005B3C75" w:rsidRDefault="00FE5CEB">
            <w:pPr>
              <w:keepNext/>
              <w:keepLines/>
              <w:spacing w:after="0" w:line="240" w:lineRule="auto"/>
              <w:jc w:val="right"/>
            </w:pPr>
            <w:r>
              <w:rPr>
                <w:sz w:val="18"/>
              </w:rPr>
              <w:t>121,4</w:t>
            </w:r>
          </w:p>
        </w:tc>
      </w:tr>
    </w:tbl>
    <w:p w:rsidR="005B3C75" w:rsidRDefault="005B3C75">
      <w:pPr>
        <w:spacing w:after="0"/>
      </w:pPr>
    </w:p>
    <w:p w:rsidR="005B3C75" w:rsidRDefault="00FE5CEB">
      <w:r>
        <w:t>U izvještajnom razdoblju evidentirano je povećanje rashoda za zaposlene zbog novog pravilnika o knjiženju plaća (Pravilnik o proračunskom računovodstvu i računskom planu NN 158/23) i primjene kolektivnih ugovora kojima su povećani koeficijenti i osnovica z</w:t>
      </w:r>
      <w:r>
        <w:t xml:space="preserve">a obračun plaća. Također, </w:t>
      </w:r>
      <w:proofErr w:type="spellStart"/>
      <w:r>
        <w:t>napovećanje</w:t>
      </w:r>
      <w:proofErr w:type="spellEnd"/>
      <w:r>
        <w:t xml:space="preserve"> su utjecale promjene u broju zaposlenih, napredovanja djelatnika te zamjene za bolovanja i odsutnosti.</w:t>
      </w:r>
    </w:p>
    <w:p w:rsidR="005B3C75" w:rsidRDefault="005B3C75"/>
    <w:p w:rsidR="005B3C75" w:rsidRDefault="00FE5CEB">
      <w:pPr>
        <w:keepNext/>
        <w:spacing w:line="240" w:lineRule="auto"/>
        <w:jc w:val="center"/>
      </w:pPr>
      <w:r>
        <w:rPr>
          <w:sz w:val="28"/>
        </w:rPr>
        <w:t>Bilješka 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312</w:t>
            </w:r>
          </w:p>
        </w:tc>
        <w:tc>
          <w:tcPr>
            <w:tcW w:w="3180" w:type="dxa"/>
            <w:tcMar>
              <w:top w:w="0" w:type="dxa"/>
              <w:bottom w:w="0" w:type="dxa"/>
            </w:tcMar>
            <w:vAlign w:val="center"/>
          </w:tcPr>
          <w:p w:rsidR="005B3C75" w:rsidRDefault="00FE5CEB">
            <w:pPr>
              <w:keepNext/>
              <w:keepLines/>
              <w:spacing w:after="0" w:line="240" w:lineRule="auto"/>
            </w:pPr>
            <w:r>
              <w:rPr>
                <w:sz w:val="18"/>
              </w:rPr>
              <w:t>Ostali rashodi za zaposlene</w:t>
            </w:r>
          </w:p>
        </w:tc>
        <w:tc>
          <w:tcPr>
            <w:tcW w:w="700" w:type="dxa"/>
            <w:tcMar>
              <w:top w:w="0" w:type="dxa"/>
              <w:bottom w:w="0" w:type="dxa"/>
            </w:tcMar>
            <w:vAlign w:val="center"/>
          </w:tcPr>
          <w:p w:rsidR="005B3C75" w:rsidRDefault="00FE5CEB">
            <w:pPr>
              <w:keepNext/>
              <w:keepLines/>
              <w:spacing w:after="0" w:line="240" w:lineRule="auto"/>
            </w:pPr>
            <w:r>
              <w:rPr>
                <w:sz w:val="18"/>
              </w:rPr>
              <w:t>312</w:t>
            </w:r>
          </w:p>
        </w:tc>
        <w:tc>
          <w:tcPr>
            <w:tcW w:w="1860" w:type="dxa"/>
            <w:tcMar>
              <w:top w:w="0" w:type="dxa"/>
              <w:bottom w:w="0" w:type="dxa"/>
            </w:tcMar>
            <w:vAlign w:val="center"/>
          </w:tcPr>
          <w:p w:rsidR="005B3C75" w:rsidRDefault="00FE5CEB">
            <w:pPr>
              <w:keepNext/>
              <w:keepLines/>
              <w:spacing w:after="0" w:line="240" w:lineRule="auto"/>
              <w:jc w:val="right"/>
            </w:pPr>
            <w:r>
              <w:rPr>
                <w:sz w:val="18"/>
              </w:rPr>
              <w:t>125,00</w:t>
            </w:r>
          </w:p>
        </w:tc>
        <w:tc>
          <w:tcPr>
            <w:tcW w:w="1860" w:type="dxa"/>
            <w:tcMar>
              <w:top w:w="0" w:type="dxa"/>
              <w:bottom w:w="0" w:type="dxa"/>
            </w:tcMar>
            <w:vAlign w:val="center"/>
          </w:tcPr>
          <w:p w:rsidR="005B3C75" w:rsidRDefault="00FE5CEB">
            <w:pPr>
              <w:keepNext/>
              <w:keepLines/>
              <w:spacing w:after="0" w:line="240" w:lineRule="auto"/>
              <w:jc w:val="right"/>
            </w:pPr>
            <w:r>
              <w:rPr>
                <w:sz w:val="18"/>
              </w:rPr>
              <w:t>184.501,58</w:t>
            </w:r>
          </w:p>
        </w:tc>
        <w:tc>
          <w:tcPr>
            <w:tcW w:w="700" w:type="dxa"/>
            <w:tcMar>
              <w:top w:w="0" w:type="dxa"/>
              <w:bottom w:w="0" w:type="dxa"/>
            </w:tcMar>
            <w:vAlign w:val="center"/>
          </w:tcPr>
          <w:p w:rsidR="005B3C75" w:rsidRDefault="00FE5CEB">
            <w:pPr>
              <w:keepNext/>
              <w:keepLines/>
              <w:spacing w:after="0" w:line="240" w:lineRule="auto"/>
              <w:jc w:val="right"/>
            </w:pPr>
            <w:r>
              <w:rPr>
                <w:sz w:val="18"/>
              </w:rPr>
              <w:t>&gt;&gt;100</w:t>
            </w:r>
          </w:p>
        </w:tc>
      </w:tr>
    </w:tbl>
    <w:p w:rsidR="005B3C75" w:rsidRDefault="005B3C75">
      <w:pPr>
        <w:spacing w:after="0"/>
      </w:pPr>
    </w:p>
    <w:p w:rsidR="005B3C75" w:rsidRDefault="00FE5CEB">
      <w:r>
        <w:t>Na računu 321 evidentirani su rashodi za oporezivi prijevoz djelatnika i nagrade koje su isplaćene u 2025. godini dok su u prethodnoj godini iste bile evidentirane na računu 3212 i 3214. </w:t>
      </w:r>
    </w:p>
    <w:p w:rsidR="005B3C75" w:rsidRDefault="005B3C75"/>
    <w:p w:rsidR="005B3C75" w:rsidRDefault="00FE5CEB">
      <w:pPr>
        <w:keepNext/>
        <w:spacing w:line="240" w:lineRule="auto"/>
        <w:jc w:val="center"/>
      </w:pPr>
      <w:r>
        <w:rPr>
          <w:sz w:val="28"/>
        </w:rPr>
        <w:t>Bilješka 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w:t>
            </w:r>
            <w:r>
              <w:rPr>
                <w:b/>
                <w:sz w:val="18"/>
              </w:rPr>
              <w:t>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32</w:t>
            </w:r>
          </w:p>
        </w:tc>
        <w:tc>
          <w:tcPr>
            <w:tcW w:w="3180" w:type="dxa"/>
            <w:tcMar>
              <w:top w:w="0" w:type="dxa"/>
              <w:bottom w:w="0" w:type="dxa"/>
            </w:tcMar>
            <w:vAlign w:val="center"/>
          </w:tcPr>
          <w:p w:rsidR="005B3C75" w:rsidRDefault="00FE5CEB">
            <w:pPr>
              <w:keepNext/>
              <w:keepLines/>
              <w:spacing w:after="0" w:line="240" w:lineRule="auto"/>
            </w:pPr>
            <w:r>
              <w:rPr>
                <w:sz w:val="18"/>
              </w:rPr>
              <w:t>Materijalni rashodi (šifre 321+322+323+324+325+329)</w:t>
            </w:r>
          </w:p>
        </w:tc>
        <w:tc>
          <w:tcPr>
            <w:tcW w:w="700" w:type="dxa"/>
            <w:tcMar>
              <w:top w:w="0" w:type="dxa"/>
              <w:bottom w:w="0" w:type="dxa"/>
            </w:tcMar>
            <w:vAlign w:val="center"/>
          </w:tcPr>
          <w:p w:rsidR="005B3C75" w:rsidRDefault="00FE5CEB">
            <w:pPr>
              <w:keepNext/>
              <w:keepLines/>
              <w:spacing w:after="0" w:line="240" w:lineRule="auto"/>
            </w:pPr>
            <w:r>
              <w:rPr>
                <w:sz w:val="18"/>
              </w:rPr>
              <w:t>32</w:t>
            </w:r>
          </w:p>
        </w:tc>
        <w:tc>
          <w:tcPr>
            <w:tcW w:w="1860" w:type="dxa"/>
            <w:tcMar>
              <w:top w:w="0" w:type="dxa"/>
              <w:bottom w:w="0" w:type="dxa"/>
            </w:tcMar>
            <w:vAlign w:val="center"/>
          </w:tcPr>
          <w:p w:rsidR="005B3C75" w:rsidRDefault="00FE5CEB">
            <w:pPr>
              <w:keepNext/>
              <w:keepLines/>
              <w:spacing w:after="0" w:line="240" w:lineRule="auto"/>
              <w:jc w:val="right"/>
            </w:pPr>
            <w:r>
              <w:rPr>
                <w:sz w:val="18"/>
              </w:rPr>
              <w:t>560.219,93</w:t>
            </w:r>
          </w:p>
        </w:tc>
        <w:tc>
          <w:tcPr>
            <w:tcW w:w="1860" w:type="dxa"/>
            <w:tcMar>
              <w:top w:w="0" w:type="dxa"/>
              <w:bottom w:w="0" w:type="dxa"/>
            </w:tcMar>
            <w:vAlign w:val="center"/>
          </w:tcPr>
          <w:p w:rsidR="005B3C75" w:rsidRDefault="00FE5CEB">
            <w:pPr>
              <w:keepNext/>
              <w:keepLines/>
              <w:spacing w:after="0" w:line="240" w:lineRule="auto"/>
              <w:jc w:val="right"/>
            </w:pPr>
            <w:r>
              <w:rPr>
                <w:sz w:val="18"/>
              </w:rPr>
              <w:t>438.279,57</w:t>
            </w:r>
          </w:p>
        </w:tc>
        <w:tc>
          <w:tcPr>
            <w:tcW w:w="700" w:type="dxa"/>
            <w:tcMar>
              <w:top w:w="0" w:type="dxa"/>
              <w:bottom w:w="0" w:type="dxa"/>
            </w:tcMar>
            <w:vAlign w:val="center"/>
          </w:tcPr>
          <w:p w:rsidR="005B3C75" w:rsidRDefault="00FE5CEB">
            <w:pPr>
              <w:keepNext/>
              <w:keepLines/>
              <w:spacing w:after="0" w:line="240" w:lineRule="auto"/>
              <w:jc w:val="right"/>
            </w:pPr>
            <w:r>
              <w:rPr>
                <w:sz w:val="18"/>
              </w:rPr>
              <w:t>78,2</w:t>
            </w:r>
          </w:p>
        </w:tc>
      </w:tr>
    </w:tbl>
    <w:p w:rsidR="005B3C75" w:rsidRDefault="005B3C75">
      <w:pPr>
        <w:spacing w:after="0"/>
      </w:pPr>
    </w:p>
    <w:p w:rsidR="005B3C75" w:rsidRDefault="00FE5CEB">
      <w:r>
        <w:lastRenderedPageBreak/>
        <w:t>Odstupanje u strukturi materijalnih rashoda  proizlazi zbog promjene u strukturi knjiženja rashoda.</w:t>
      </w:r>
    </w:p>
    <w:p w:rsidR="005B3C75" w:rsidRDefault="00FE5CEB">
      <w:r>
        <w:t xml:space="preserve">Rashodi za zaposlene (oporezivi prijevoz </w:t>
      </w:r>
      <w:proofErr w:type="spellStart"/>
      <w:r>
        <w:t>dijelatnika</w:t>
      </w:r>
      <w:proofErr w:type="spellEnd"/>
      <w:r>
        <w:t xml:space="preserve"> i nagrade) u 2025. godini evidentirani su na računu 312 što je utjecalo na smanjenje rashoda na računu </w:t>
      </w:r>
      <w:r>
        <w:t>321.</w:t>
      </w:r>
    </w:p>
    <w:p w:rsidR="005B3C75" w:rsidRDefault="00FE5CEB">
      <w:r>
        <w:t> </w:t>
      </w:r>
    </w:p>
    <w:p w:rsidR="005B3C75" w:rsidRDefault="00FE5CEB">
      <w:pPr>
        <w:keepNext/>
        <w:spacing w:line="240" w:lineRule="auto"/>
        <w:jc w:val="center"/>
      </w:pPr>
      <w:r>
        <w:rPr>
          <w:sz w:val="28"/>
        </w:rPr>
        <w:t>Bilješka 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321</w:t>
            </w:r>
          </w:p>
        </w:tc>
        <w:tc>
          <w:tcPr>
            <w:tcW w:w="3180" w:type="dxa"/>
            <w:tcMar>
              <w:top w:w="0" w:type="dxa"/>
              <w:bottom w:w="0" w:type="dxa"/>
            </w:tcMar>
            <w:vAlign w:val="center"/>
          </w:tcPr>
          <w:p w:rsidR="005B3C75" w:rsidRDefault="00FE5CEB">
            <w:pPr>
              <w:keepNext/>
              <w:keepLines/>
              <w:spacing w:after="0" w:line="240" w:lineRule="auto"/>
            </w:pPr>
            <w:r>
              <w:rPr>
                <w:sz w:val="18"/>
              </w:rPr>
              <w:t>Naknade troškova zaposlenima (šifre 3211 do 3214)</w:t>
            </w:r>
          </w:p>
        </w:tc>
        <w:tc>
          <w:tcPr>
            <w:tcW w:w="700" w:type="dxa"/>
            <w:tcMar>
              <w:top w:w="0" w:type="dxa"/>
              <w:bottom w:w="0" w:type="dxa"/>
            </w:tcMar>
            <w:vAlign w:val="center"/>
          </w:tcPr>
          <w:p w:rsidR="005B3C75" w:rsidRDefault="00FE5CEB">
            <w:pPr>
              <w:keepNext/>
              <w:keepLines/>
              <w:spacing w:after="0" w:line="240" w:lineRule="auto"/>
            </w:pPr>
            <w:r>
              <w:rPr>
                <w:sz w:val="18"/>
              </w:rPr>
              <w:t>321</w:t>
            </w:r>
          </w:p>
        </w:tc>
        <w:tc>
          <w:tcPr>
            <w:tcW w:w="1860" w:type="dxa"/>
            <w:tcMar>
              <w:top w:w="0" w:type="dxa"/>
              <w:bottom w:w="0" w:type="dxa"/>
            </w:tcMar>
            <w:vAlign w:val="center"/>
          </w:tcPr>
          <w:p w:rsidR="005B3C75" w:rsidRDefault="00FE5CEB">
            <w:pPr>
              <w:keepNext/>
              <w:keepLines/>
              <w:spacing w:after="0" w:line="240" w:lineRule="auto"/>
              <w:jc w:val="right"/>
            </w:pPr>
            <w:r>
              <w:rPr>
                <w:sz w:val="18"/>
              </w:rPr>
              <w:t>162.740,09</w:t>
            </w:r>
          </w:p>
        </w:tc>
        <w:tc>
          <w:tcPr>
            <w:tcW w:w="1860" w:type="dxa"/>
            <w:tcMar>
              <w:top w:w="0" w:type="dxa"/>
              <w:bottom w:w="0" w:type="dxa"/>
            </w:tcMar>
            <w:vAlign w:val="center"/>
          </w:tcPr>
          <w:p w:rsidR="005B3C75" w:rsidRDefault="00FE5CEB">
            <w:pPr>
              <w:keepNext/>
              <w:keepLines/>
              <w:spacing w:after="0" w:line="240" w:lineRule="auto"/>
              <w:jc w:val="right"/>
            </w:pPr>
            <w:r>
              <w:rPr>
                <w:sz w:val="18"/>
              </w:rPr>
              <w:t>37.591,04</w:t>
            </w:r>
          </w:p>
        </w:tc>
        <w:tc>
          <w:tcPr>
            <w:tcW w:w="700" w:type="dxa"/>
            <w:tcMar>
              <w:top w:w="0" w:type="dxa"/>
              <w:bottom w:w="0" w:type="dxa"/>
            </w:tcMar>
            <w:vAlign w:val="center"/>
          </w:tcPr>
          <w:p w:rsidR="005B3C75" w:rsidRDefault="00FE5CEB">
            <w:pPr>
              <w:keepNext/>
              <w:keepLines/>
              <w:spacing w:after="0" w:line="240" w:lineRule="auto"/>
              <w:jc w:val="right"/>
            </w:pPr>
            <w:r>
              <w:rPr>
                <w:sz w:val="18"/>
              </w:rPr>
              <w:t>23,1</w:t>
            </w:r>
          </w:p>
        </w:tc>
      </w:tr>
    </w:tbl>
    <w:p w:rsidR="005B3C75" w:rsidRDefault="005B3C75">
      <w:pPr>
        <w:spacing w:after="0"/>
      </w:pPr>
    </w:p>
    <w:p w:rsidR="005B3C75" w:rsidRDefault="00FE5CEB">
      <w:r>
        <w:t>Zbog evidencije rashoda za oporezivi prijevoz djelatnika i nagrade koje su isplaćene u 2025. godini na računu 312 vidljivo je smanjenje rashoda na 321.</w:t>
      </w:r>
    </w:p>
    <w:p w:rsidR="005B3C75" w:rsidRDefault="005B3C75"/>
    <w:p w:rsidR="005B3C75" w:rsidRDefault="00FE5CEB">
      <w:pPr>
        <w:keepNext/>
        <w:spacing w:line="240" w:lineRule="auto"/>
        <w:jc w:val="center"/>
      </w:pPr>
      <w:r>
        <w:rPr>
          <w:sz w:val="28"/>
        </w:rPr>
        <w:t>Bilješka 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3212</w:t>
            </w:r>
          </w:p>
        </w:tc>
        <w:tc>
          <w:tcPr>
            <w:tcW w:w="3180" w:type="dxa"/>
            <w:tcMar>
              <w:top w:w="0" w:type="dxa"/>
              <w:bottom w:w="0" w:type="dxa"/>
            </w:tcMar>
            <w:vAlign w:val="center"/>
          </w:tcPr>
          <w:p w:rsidR="005B3C75" w:rsidRDefault="00FE5CEB">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5B3C75" w:rsidRDefault="00FE5CEB">
            <w:pPr>
              <w:keepNext/>
              <w:keepLines/>
              <w:spacing w:after="0" w:line="240" w:lineRule="auto"/>
            </w:pPr>
            <w:r>
              <w:rPr>
                <w:sz w:val="18"/>
              </w:rPr>
              <w:t>3212</w:t>
            </w:r>
          </w:p>
        </w:tc>
        <w:tc>
          <w:tcPr>
            <w:tcW w:w="1860" w:type="dxa"/>
            <w:tcMar>
              <w:top w:w="0" w:type="dxa"/>
              <w:bottom w:w="0" w:type="dxa"/>
            </w:tcMar>
            <w:vAlign w:val="center"/>
          </w:tcPr>
          <w:p w:rsidR="005B3C75" w:rsidRDefault="00FE5CEB">
            <w:pPr>
              <w:keepNext/>
              <w:keepLines/>
              <w:spacing w:after="0" w:line="240" w:lineRule="auto"/>
              <w:jc w:val="right"/>
            </w:pPr>
            <w:r>
              <w:rPr>
                <w:sz w:val="18"/>
              </w:rPr>
              <w:t>128.314,88</w:t>
            </w:r>
          </w:p>
        </w:tc>
        <w:tc>
          <w:tcPr>
            <w:tcW w:w="1860" w:type="dxa"/>
            <w:tcMar>
              <w:top w:w="0" w:type="dxa"/>
              <w:bottom w:w="0" w:type="dxa"/>
            </w:tcMar>
            <w:vAlign w:val="center"/>
          </w:tcPr>
          <w:p w:rsidR="005B3C75" w:rsidRDefault="00FE5CEB">
            <w:pPr>
              <w:keepNext/>
              <w:keepLines/>
              <w:spacing w:after="0" w:line="240" w:lineRule="auto"/>
              <w:jc w:val="right"/>
            </w:pPr>
            <w:r>
              <w:rPr>
                <w:sz w:val="18"/>
              </w:rPr>
              <w:t>7.390,47</w:t>
            </w:r>
          </w:p>
        </w:tc>
        <w:tc>
          <w:tcPr>
            <w:tcW w:w="700" w:type="dxa"/>
            <w:tcMar>
              <w:top w:w="0" w:type="dxa"/>
              <w:bottom w:w="0" w:type="dxa"/>
            </w:tcMar>
            <w:vAlign w:val="center"/>
          </w:tcPr>
          <w:p w:rsidR="005B3C75" w:rsidRDefault="00FE5CEB">
            <w:pPr>
              <w:keepNext/>
              <w:keepLines/>
              <w:spacing w:after="0" w:line="240" w:lineRule="auto"/>
              <w:jc w:val="right"/>
            </w:pPr>
            <w:r>
              <w:rPr>
                <w:sz w:val="18"/>
              </w:rPr>
              <w:t>5,8</w:t>
            </w:r>
          </w:p>
        </w:tc>
      </w:tr>
    </w:tbl>
    <w:p w:rsidR="005B3C75" w:rsidRDefault="005B3C75">
      <w:pPr>
        <w:spacing w:after="0"/>
      </w:pPr>
    </w:p>
    <w:p w:rsidR="005B3C75" w:rsidRDefault="00FE5CEB">
      <w:r>
        <w:t>Rashodi za prijevoz zaposlenika evidentirani su na računu 312 te je zbog toga ovdje evidentirano smanjenje. </w:t>
      </w:r>
    </w:p>
    <w:p w:rsidR="005B3C75" w:rsidRDefault="00FE5CEB">
      <w:r>
        <w:t>U izvještajnom razdoblju je zapravo došlo do povećanja rashoda za prijevoz. Na ukupno povećanje utjecalo je povećanje broja zaposlenih i većeg broj</w:t>
      </w:r>
      <w:r>
        <w:t>a zaposlenika koji ostvaruju pravo na naknadu troškova te porast cijena prijevoznih usluga.</w:t>
      </w:r>
    </w:p>
    <w:p w:rsidR="005B3C75" w:rsidRDefault="005B3C75"/>
    <w:p w:rsidR="005B3C75" w:rsidRDefault="00FE5CEB">
      <w:pPr>
        <w:keepNext/>
        <w:spacing w:line="240" w:lineRule="auto"/>
        <w:jc w:val="center"/>
      </w:pPr>
      <w:r>
        <w:rPr>
          <w:sz w:val="28"/>
        </w:rPr>
        <w:t>Bilješka 10.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322</w:t>
            </w:r>
          </w:p>
        </w:tc>
        <w:tc>
          <w:tcPr>
            <w:tcW w:w="3180" w:type="dxa"/>
            <w:tcMar>
              <w:top w:w="0" w:type="dxa"/>
              <w:bottom w:w="0" w:type="dxa"/>
            </w:tcMar>
            <w:vAlign w:val="center"/>
          </w:tcPr>
          <w:p w:rsidR="005B3C75" w:rsidRDefault="00FE5CEB">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5B3C75" w:rsidRDefault="00FE5CEB">
            <w:pPr>
              <w:keepNext/>
              <w:keepLines/>
              <w:spacing w:after="0" w:line="240" w:lineRule="auto"/>
            </w:pPr>
            <w:r>
              <w:rPr>
                <w:sz w:val="18"/>
              </w:rPr>
              <w:t>322</w:t>
            </w:r>
          </w:p>
        </w:tc>
        <w:tc>
          <w:tcPr>
            <w:tcW w:w="1860" w:type="dxa"/>
            <w:tcMar>
              <w:top w:w="0" w:type="dxa"/>
              <w:bottom w:w="0" w:type="dxa"/>
            </w:tcMar>
            <w:vAlign w:val="center"/>
          </w:tcPr>
          <w:p w:rsidR="005B3C75" w:rsidRDefault="00FE5CEB">
            <w:pPr>
              <w:keepNext/>
              <w:keepLines/>
              <w:spacing w:after="0" w:line="240" w:lineRule="auto"/>
              <w:jc w:val="right"/>
            </w:pPr>
            <w:r>
              <w:rPr>
                <w:sz w:val="18"/>
              </w:rPr>
              <w:t>278.302,93</w:t>
            </w:r>
          </w:p>
        </w:tc>
        <w:tc>
          <w:tcPr>
            <w:tcW w:w="1860" w:type="dxa"/>
            <w:tcMar>
              <w:top w:w="0" w:type="dxa"/>
              <w:bottom w:w="0" w:type="dxa"/>
            </w:tcMar>
            <w:vAlign w:val="center"/>
          </w:tcPr>
          <w:p w:rsidR="005B3C75" w:rsidRDefault="00FE5CEB">
            <w:pPr>
              <w:keepNext/>
              <w:keepLines/>
              <w:spacing w:after="0" w:line="240" w:lineRule="auto"/>
              <w:jc w:val="right"/>
            </w:pPr>
            <w:r>
              <w:rPr>
                <w:sz w:val="18"/>
              </w:rPr>
              <w:t>240.016,37</w:t>
            </w:r>
          </w:p>
        </w:tc>
        <w:tc>
          <w:tcPr>
            <w:tcW w:w="700" w:type="dxa"/>
            <w:tcMar>
              <w:top w:w="0" w:type="dxa"/>
              <w:bottom w:w="0" w:type="dxa"/>
            </w:tcMar>
            <w:vAlign w:val="center"/>
          </w:tcPr>
          <w:p w:rsidR="005B3C75" w:rsidRDefault="00FE5CEB">
            <w:pPr>
              <w:keepNext/>
              <w:keepLines/>
              <w:spacing w:after="0" w:line="240" w:lineRule="auto"/>
              <w:jc w:val="right"/>
            </w:pPr>
            <w:r>
              <w:rPr>
                <w:sz w:val="18"/>
              </w:rPr>
              <w:t>86,2</w:t>
            </w:r>
          </w:p>
        </w:tc>
      </w:tr>
    </w:tbl>
    <w:p w:rsidR="005B3C75" w:rsidRDefault="005B3C75">
      <w:pPr>
        <w:spacing w:after="0"/>
      </w:pPr>
    </w:p>
    <w:p w:rsidR="005B3C75" w:rsidRDefault="00FE5CEB">
      <w:r>
        <w:t xml:space="preserve">Prikazano smanjenje materijalnih rashoda u izvještajnoj godini posljedica je promjene u načinu knjiženja rashoda škole, pri čemu je veći dio rashoda evidentiran na kontu ostalih </w:t>
      </w:r>
      <w:proofErr w:type="spellStart"/>
      <w:r>
        <w:t>nespomentih</w:t>
      </w:r>
      <w:proofErr w:type="spellEnd"/>
      <w:r>
        <w:t xml:space="preserve"> rashoda 329.</w:t>
      </w:r>
    </w:p>
    <w:p w:rsidR="005B3C75" w:rsidRDefault="00FE5CEB">
      <w:r>
        <w:lastRenderedPageBreak/>
        <w:t>Ukupni materijalni rashodi po kontu 322 i 329 u 2024.</w:t>
      </w:r>
      <w:r>
        <w:t xml:space="preserve"> godini iznosili su 324.954,30 EUR dok su u 2025. godini 351.679,86 EUR što čini razliku od 26.725,56 EUR odnosno konačno povećanje materijalnih rashoda u 2025.godini za 8,23 % u odnosu na 2024.godinu.</w:t>
      </w:r>
    </w:p>
    <w:p w:rsidR="005B3C75" w:rsidRDefault="00FE5CEB">
      <w:r>
        <w:t> </w:t>
      </w:r>
    </w:p>
    <w:p w:rsidR="005B3C75" w:rsidRDefault="005B3C75"/>
    <w:p w:rsidR="005B3C75" w:rsidRDefault="00FE5CEB">
      <w:pPr>
        <w:keepNext/>
        <w:spacing w:line="240" w:lineRule="auto"/>
        <w:jc w:val="center"/>
      </w:pPr>
      <w:r>
        <w:rPr>
          <w:sz w:val="28"/>
        </w:rPr>
        <w:t>Bilješka 11.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w:t>
            </w:r>
            <w:r>
              <w:rPr>
                <w:b/>
                <w:sz w:val="18"/>
              </w:rPr>
              <w:t>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3236</w:t>
            </w:r>
          </w:p>
        </w:tc>
        <w:tc>
          <w:tcPr>
            <w:tcW w:w="3180" w:type="dxa"/>
            <w:tcMar>
              <w:top w:w="0" w:type="dxa"/>
              <w:bottom w:w="0" w:type="dxa"/>
            </w:tcMar>
            <w:vAlign w:val="center"/>
          </w:tcPr>
          <w:p w:rsidR="005B3C75" w:rsidRDefault="00FE5CEB">
            <w:pPr>
              <w:keepNext/>
              <w:keepLines/>
              <w:spacing w:after="0" w:line="240" w:lineRule="auto"/>
            </w:pPr>
            <w:r>
              <w:rPr>
                <w:sz w:val="18"/>
              </w:rPr>
              <w:t>Zdravstvene i veterinarske usluge</w:t>
            </w:r>
          </w:p>
        </w:tc>
        <w:tc>
          <w:tcPr>
            <w:tcW w:w="700" w:type="dxa"/>
            <w:tcMar>
              <w:top w:w="0" w:type="dxa"/>
              <w:bottom w:w="0" w:type="dxa"/>
            </w:tcMar>
            <w:vAlign w:val="center"/>
          </w:tcPr>
          <w:p w:rsidR="005B3C75" w:rsidRDefault="00FE5CEB">
            <w:pPr>
              <w:keepNext/>
              <w:keepLines/>
              <w:spacing w:after="0" w:line="240" w:lineRule="auto"/>
            </w:pPr>
            <w:r>
              <w:rPr>
                <w:sz w:val="18"/>
              </w:rPr>
              <w:t>3236</w:t>
            </w:r>
          </w:p>
        </w:tc>
        <w:tc>
          <w:tcPr>
            <w:tcW w:w="1860" w:type="dxa"/>
            <w:tcMar>
              <w:top w:w="0" w:type="dxa"/>
              <w:bottom w:w="0" w:type="dxa"/>
            </w:tcMar>
            <w:vAlign w:val="center"/>
          </w:tcPr>
          <w:p w:rsidR="005B3C75" w:rsidRDefault="00FE5CEB">
            <w:pPr>
              <w:keepNext/>
              <w:keepLines/>
              <w:spacing w:after="0" w:line="240" w:lineRule="auto"/>
              <w:jc w:val="right"/>
            </w:pPr>
            <w:r>
              <w:rPr>
                <w:sz w:val="18"/>
              </w:rPr>
              <w:t>1.788,00</w:t>
            </w:r>
          </w:p>
        </w:tc>
        <w:tc>
          <w:tcPr>
            <w:tcW w:w="1860" w:type="dxa"/>
            <w:tcMar>
              <w:top w:w="0" w:type="dxa"/>
              <w:bottom w:w="0" w:type="dxa"/>
            </w:tcMar>
            <w:vAlign w:val="center"/>
          </w:tcPr>
          <w:p w:rsidR="005B3C75" w:rsidRDefault="00FE5CEB">
            <w:pPr>
              <w:keepNext/>
              <w:keepLines/>
              <w:spacing w:after="0" w:line="240" w:lineRule="auto"/>
              <w:jc w:val="right"/>
            </w:pPr>
            <w:r>
              <w:rPr>
                <w:sz w:val="18"/>
              </w:rPr>
              <w:t>1.390,12</w:t>
            </w:r>
          </w:p>
        </w:tc>
        <w:tc>
          <w:tcPr>
            <w:tcW w:w="700" w:type="dxa"/>
            <w:tcMar>
              <w:top w:w="0" w:type="dxa"/>
              <w:bottom w:w="0" w:type="dxa"/>
            </w:tcMar>
            <w:vAlign w:val="center"/>
          </w:tcPr>
          <w:p w:rsidR="005B3C75" w:rsidRDefault="00FE5CEB">
            <w:pPr>
              <w:keepNext/>
              <w:keepLines/>
              <w:spacing w:after="0" w:line="240" w:lineRule="auto"/>
              <w:jc w:val="right"/>
            </w:pPr>
            <w:r>
              <w:rPr>
                <w:sz w:val="18"/>
              </w:rPr>
              <w:t>77,7</w:t>
            </w:r>
          </w:p>
        </w:tc>
      </w:tr>
    </w:tbl>
    <w:p w:rsidR="005B3C75" w:rsidRDefault="005B3C75">
      <w:pPr>
        <w:spacing w:after="0"/>
      </w:pPr>
    </w:p>
    <w:p w:rsidR="005B3C75" w:rsidRDefault="00FE5CEB">
      <w:r>
        <w:t>Ove kalendarske godine manji broj zaposlenika je imao pravo na sistematske preglede nego što je rezultiralo smanjenjem rashoda.</w:t>
      </w:r>
    </w:p>
    <w:p w:rsidR="005B3C75" w:rsidRDefault="005B3C75"/>
    <w:p w:rsidR="005B3C75" w:rsidRDefault="00FE5CEB">
      <w:pPr>
        <w:keepNext/>
        <w:spacing w:line="240" w:lineRule="auto"/>
        <w:jc w:val="center"/>
      </w:pPr>
      <w:r>
        <w:rPr>
          <w:sz w:val="28"/>
        </w:rPr>
        <w:t>Bilješka 12.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w:t>
            </w:r>
            <w:r>
              <w:rPr>
                <w:b/>
                <w:sz w:val="18"/>
              </w:rPr>
              <w:t xml:space="preserve">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3237</w:t>
            </w:r>
          </w:p>
        </w:tc>
        <w:tc>
          <w:tcPr>
            <w:tcW w:w="3180" w:type="dxa"/>
            <w:tcMar>
              <w:top w:w="0" w:type="dxa"/>
              <w:bottom w:w="0" w:type="dxa"/>
            </w:tcMar>
            <w:vAlign w:val="center"/>
          </w:tcPr>
          <w:p w:rsidR="005B3C75" w:rsidRDefault="00FE5CEB">
            <w:pPr>
              <w:keepNext/>
              <w:keepLines/>
              <w:spacing w:after="0" w:line="240" w:lineRule="auto"/>
            </w:pPr>
            <w:r>
              <w:rPr>
                <w:sz w:val="18"/>
              </w:rPr>
              <w:t>Intelektualne i osobne usluge</w:t>
            </w:r>
          </w:p>
        </w:tc>
        <w:tc>
          <w:tcPr>
            <w:tcW w:w="700" w:type="dxa"/>
            <w:tcMar>
              <w:top w:w="0" w:type="dxa"/>
              <w:bottom w:w="0" w:type="dxa"/>
            </w:tcMar>
            <w:vAlign w:val="center"/>
          </w:tcPr>
          <w:p w:rsidR="005B3C75" w:rsidRDefault="00FE5CEB">
            <w:pPr>
              <w:keepNext/>
              <w:keepLines/>
              <w:spacing w:after="0" w:line="240" w:lineRule="auto"/>
            </w:pPr>
            <w:r>
              <w:rPr>
                <w:sz w:val="18"/>
              </w:rPr>
              <w:t>3237</w:t>
            </w:r>
          </w:p>
        </w:tc>
        <w:tc>
          <w:tcPr>
            <w:tcW w:w="1860" w:type="dxa"/>
            <w:tcMar>
              <w:top w:w="0" w:type="dxa"/>
              <w:bottom w:w="0" w:type="dxa"/>
            </w:tcMar>
            <w:vAlign w:val="center"/>
          </w:tcPr>
          <w:p w:rsidR="005B3C75" w:rsidRDefault="00FE5CEB">
            <w:pPr>
              <w:keepNext/>
              <w:keepLines/>
              <w:spacing w:after="0" w:line="240" w:lineRule="auto"/>
              <w:jc w:val="right"/>
            </w:pPr>
            <w:r>
              <w:rPr>
                <w:sz w:val="18"/>
              </w:rPr>
              <w:t>2.081,15</w:t>
            </w:r>
          </w:p>
        </w:tc>
        <w:tc>
          <w:tcPr>
            <w:tcW w:w="1860" w:type="dxa"/>
            <w:tcMar>
              <w:top w:w="0" w:type="dxa"/>
              <w:bottom w:w="0" w:type="dxa"/>
            </w:tcMar>
            <w:vAlign w:val="center"/>
          </w:tcPr>
          <w:p w:rsidR="005B3C75" w:rsidRDefault="00FE5CEB">
            <w:pPr>
              <w:keepNext/>
              <w:keepLines/>
              <w:spacing w:after="0" w:line="240" w:lineRule="auto"/>
              <w:jc w:val="right"/>
            </w:pPr>
            <w:r>
              <w:rPr>
                <w:sz w:val="18"/>
              </w:rPr>
              <w:t>6.018,22</w:t>
            </w:r>
          </w:p>
        </w:tc>
        <w:tc>
          <w:tcPr>
            <w:tcW w:w="700" w:type="dxa"/>
            <w:tcMar>
              <w:top w:w="0" w:type="dxa"/>
              <w:bottom w:w="0" w:type="dxa"/>
            </w:tcMar>
            <w:vAlign w:val="center"/>
          </w:tcPr>
          <w:p w:rsidR="005B3C75" w:rsidRDefault="00FE5CEB">
            <w:pPr>
              <w:keepNext/>
              <w:keepLines/>
              <w:spacing w:after="0" w:line="240" w:lineRule="auto"/>
              <w:jc w:val="right"/>
            </w:pPr>
            <w:r>
              <w:rPr>
                <w:sz w:val="18"/>
              </w:rPr>
              <w:t>289,2</w:t>
            </w:r>
          </w:p>
        </w:tc>
      </w:tr>
    </w:tbl>
    <w:p w:rsidR="005B3C75" w:rsidRDefault="005B3C75">
      <w:pPr>
        <w:spacing w:after="0"/>
      </w:pPr>
    </w:p>
    <w:p w:rsidR="005B3C75" w:rsidRDefault="00FE5CEB">
      <w:r>
        <w:t>Povećani su troškovi zbog isplata temeljem Ugovora o dijelu.</w:t>
      </w:r>
    </w:p>
    <w:p w:rsidR="005B3C75" w:rsidRDefault="005B3C75"/>
    <w:p w:rsidR="005B3C75" w:rsidRDefault="00FE5CEB">
      <w:pPr>
        <w:keepNext/>
        <w:spacing w:line="240" w:lineRule="auto"/>
        <w:jc w:val="center"/>
      </w:pPr>
      <w:r>
        <w:rPr>
          <w:sz w:val="28"/>
        </w:rPr>
        <w:t>Bilješka 13.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329</w:t>
            </w:r>
          </w:p>
        </w:tc>
        <w:tc>
          <w:tcPr>
            <w:tcW w:w="3180" w:type="dxa"/>
            <w:tcMar>
              <w:top w:w="0" w:type="dxa"/>
              <w:bottom w:w="0" w:type="dxa"/>
            </w:tcMar>
            <w:vAlign w:val="center"/>
          </w:tcPr>
          <w:p w:rsidR="005B3C75" w:rsidRDefault="00FE5CEB">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5B3C75" w:rsidRDefault="00FE5CEB">
            <w:pPr>
              <w:keepNext/>
              <w:keepLines/>
              <w:spacing w:after="0" w:line="240" w:lineRule="auto"/>
            </w:pPr>
            <w:r>
              <w:rPr>
                <w:sz w:val="18"/>
              </w:rPr>
              <w:t>329</w:t>
            </w:r>
          </w:p>
        </w:tc>
        <w:tc>
          <w:tcPr>
            <w:tcW w:w="1860" w:type="dxa"/>
            <w:tcMar>
              <w:top w:w="0" w:type="dxa"/>
              <w:bottom w:w="0" w:type="dxa"/>
            </w:tcMar>
            <w:vAlign w:val="center"/>
          </w:tcPr>
          <w:p w:rsidR="005B3C75" w:rsidRDefault="00FE5CEB">
            <w:pPr>
              <w:keepNext/>
              <w:keepLines/>
              <w:spacing w:after="0" w:line="240" w:lineRule="auto"/>
              <w:jc w:val="right"/>
            </w:pPr>
            <w:r>
              <w:rPr>
                <w:sz w:val="18"/>
              </w:rPr>
              <w:t>46.651,37</w:t>
            </w:r>
          </w:p>
        </w:tc>
        <w:tc>
          <w:tcPr>
            <w:tcW w:w="1860" w:type="dxa"/>
            <w:tcMar>
              <w:top w:w="0" w:type="dxa"/>
              <w:bottom w:w="0" w:type="dxa"/>
            </w:tcMar>
            <w:vAlign w:val="center"/>
          </w:tcPr>
          <w:p w:rsidR="005B3C75" w:rsidRDefault="00FE5CEB">
            <w:pPr>
              <w:keepNext/>
              <w:keepLines/>
              <w:spacing w:after="0" w:line="240" w:lineRule="auto"/>
              <w:jc w:val="right"/>
            </w:pPr>
            <w:r>
              <w:rPr>
                <w:sz w:val="18"/>
              </w:rPr>
              <w:t>111.663,49</w:t>
            </w:r>
          </w:p>
        </w:tc>
        <w:tc>
          <w:tcPr>
            <w:tcW w:w="700" w:type="dxa"/>
            <w:tcMar>
              <w:top w:w="0" w:type="dxa"/>
              <w:bottom w:w="0" w:type="dxa"/>
            </w:tcMar>
            <w:vAlign w:val="center"/>
          </w:tcPr>
          <w:p w:rsidR="005B3C75" w:rsidRDefault="00FE5CEB">
            <w:pPr>
              <w:keepNext/>
              <w:keepLines/>
              <w:spacing w:after="0" w:line="240" w:lineRule="auto"/>
              <w:jc w:val="right"/>
            </w:pPr>
            <w:r>
              <w:rPr>
                <w:sz w:val="18"/>
              </w:rPr>
              <w:t>239,4</w:t>
            </w:r>
          </w:p>
        </w:tc>
      </w:tr>
    </w:tbl>
    <w:p w:rsidR="005B3C75" w:rsidRDefault="005B3C75">
      <w:pPr>
        <w:spacing w:after="0"/>
      </w:pPr>
    </w:p>
    <w:p w:rsidR="005B3C75" w:rsidRDefault="00FE5CEB">
      <w:r>
        <w:t xml:space="preserve">Povećani su zbog promjene u knjiženju čime se je dio troškova knjižio na konto 329 Ostali nespomenuti rashodi </w:t>
      </w:r>
      <w:proofErr w:type="spellStart"/>
      <w:r>
        <w:t>umijesto</w:t>
      </w:r>
      <w:proofErr w:type="spellEnd"/>
      <w:r>
        <w:t xml:space="preserve"> na pojedinačna konta 322 što je i rezultiralo smanjenjem materijalnih rashoda po računu 322.</w:t>
      </w:r>
    </w:p>
    <w:p w:rsidR="005B3C75" w:rsidRDefault="00FE5CEB">
      <w:r>
        <w:t>Ukupni materijalni rashodi po kontu 322 i 32</w:t>
      </w:r>
      <w:r>
        <w:t>9 u 2024. godini iznosili su 324.954,30 EUR dok su u 2025. godini 351.679,86 EUR što čini razliku od 26.725,56 EUR odnosno konačno povećanje materijalnih rashoda u 2025.godini za 8,23 % u odnosu na 2024.godinu.</w:t>
      </w:r>
    </w:p>
    <w:p w:rsidR="005B3C75" w:rsidRDefault="005B3C75"/>
    <w:p w:rsidR="005B3C75" w:rsidRDefault="00FE5CEB">
      <w:pPr>
        <w:keepNext/>
        <w:spacing w:line="240" w:lineRule="auto"/>
        <w:jc w:val="center"/>
      </w:pPr>
      <w:r>
        <w:rPr>
          <w:sz w:val="28"/>
        </w:rPr>
        <w:lastRenderedPageBreak/>
        <w:t>Bilješka 14.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34</w:t>
            </w:r>
          </w:p>
        </w:tc>
        <w:tc>
          <w:tcPr>
            <w:tcW w:w="3180" w:type="dxa"/>
            <w:tcMar>
              <w:top w:w="0" w:type="dxa"/>
              <w:bottom w:w="0" w:type="dxa"/>
            </w:tcMar>
            <w:vAlign w:val="center"/>
          </w:tcPr>
          <w:p w:rsidR="005B3C75" w:rsidRDefault="00FE5CEB">
            <w:pPr>
              <w:keepNext/>
              <w:keepLines/>
              <w:spacing w:after="0" w:line="240" w:lineRule="auto"/>
            </w:pPr>
            <w:r>
              <w:rPr>
                <w:sz w:val="18"/>
              </w:rPr>
              <w:t>Financijski rashodi (šifre 341+342+343)</w:t>
            </w:r>
          </w:p>
        </w:tc>
        <w:tc>
          <w:tcPr>
            <w:tcW w:w="700" w:type="dxa"/>
            <w:tcMar>
              <w:top w:w="0" w:type="dxa"/>
              <w:bottom w:w="0" w:type="dxa"/>
            </w:tcMar>
            <w:vAlign w:val="center"/>
          </w:tcPr>
          <w:p w:rsidR="005B3C75" w:rsidRDefault="00FE5CEB">
            <w:pPr>
              <w:keepNext/>
              <w:keepLines/>
              <w:spacing w:after="0" w:line="240" w:lineRule="auto"/>
            </w:pPr>
            <w:r>
              <w:rPr>
                <w:sz w:val="18"/>
              </w:rPr>
              <w:t>34</w:t>
            </w:r>
          </w:p>
        </w:tc>
        <w:tc>
          <w:tcPr>
            <w:tcW w:w="1860" w:type="dxa"/>
            <w:tcMar>
              <w:top w:w="0" w:type="dxa"/>
              <w:bottom w:w="0" w:type="dxa"/>
            </w:tcMar>
            <w:vAlign w:val="center"/>
          </w:tcPr>
          <w:p w:rsidR="005B3C75" w:rsidRDefault="00FE5CEB">
            <w:pPr>
              <w:keepNext/>
              <w:keepLines/>
              <w:spacing w:after="0" w:line="240" w:lineRule="auto"/>
              <w:jc w:val="right"/>
            </w:pPr>
            <w:r>
              <w:rPr>
                <w:sz w:val="18"/>
              </w:rPr>
              <w:t>3.501,63</w:t>
            </w:r>
          </w:p>
        </w:tc>
        <w:tc>
          <w:tcPr>
            <w:tcW w:w="1860" w:type="dxa"/>
            <w:tcMar>
              <w:top w:w="0" w:type="dxa"/>
              <w:bottom w:w="0" w:type="dxa"/>
            </w:tcMar>
            <w:vAlign w:val="center"/>
          </w:tcPr>
          <w:p w:rsidR="005B3C75" w:rsidRDefault="00FE5CEB">
            <w:pPr>
              <w:keepNext/>
              <w:keepLines/>
              <w:spacing w:after="0" w:line="240" w:lineRule="auto"/>
              <w:jc w:val="right"/>
            </w:pPr>
            <w:r>
              <w:rPr>
                <w:sz w:val="18"/>
              </w:rPr>
              <w:t>987,31</w:t>
            </w:r>
          </w:p>
        </w:tc>
        <w:tc>
          <w:tcPr>
            <w:tcW w:w="700" w:type="dxa"/>
            <w:tcMar>
              <w:top w:w="0" w:type="dxa"/>
              <w:bottom w:w="0" w:type="dxa"/>
            </w:tcMar>
            <w:vAlign w:val="center"/>
          </w:tcPr>
          <w:p w:rsidR="005B3C75" w:rsidRDefault="00FE5CEB">
            <w:pPr>
              <w:keepNext/>
              <w:keepLines/>
              <w:spacing w:after="0" w:line="240" w:lineRule="auto"/>
              <w:jc w:val="right"/>
            </w:pPr>
            <w:r>
              <w:rPr>
                <w:sz w:val="18"/>
              </w:rPr>
              <w:t>28,2</w:t>
            </w:r>
          </w:p>
        </w:tc>
      </w:tr>
    </w:tbl>
    <w:p w:rsidR="005B3C75" w:rsidRDefault="005B3C75">
      <w:pPr>
        <w:spacing w:after="0"/>
      </w:pPr>
    </w:p>
    <w:p w:rsidR="005B3C75" w:rsidRDefault="00FE5CEB">
      <w:r>
        <w:t>Smanjenje financijskih rashoda u izvještajnoj godini rezultat je zatvaranja bankovnog računa škole što je dovelo do smanjenja troškova bankovnih naknada i drugih povezanih financijskih troškova</w:t>
      </w:r>
    </w:p>
    <w:p w:rsidR="005B3C75" w:rsidRDefault="005B3C75"/>
    <w:p w:rsidR="005B3C75" w:rsidRDefault="00FE5CEB">
      <w:pPr>
        <w:keepNext/>
        <w:spacing w:line="240" w:lineRule="auto"/>
        <w:jc w:val="center"/>
      </w:pPr>
      <w:r>
        <w:rPr>
          <w:sz w:val="28"/>
        </w:rPr>
        <w:t>Bilješka 15.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38</w:t>
            </w:r>
          </w:p>
        </w:tc>
        <w:tc>
          <w:tcPr>
            <w:tcW w:w="3180" w:type="dxa"/>
            <w:tcMar>
              <w:top w:w="0" w:type="dxa"/>
              <w:bottom w:w="0" w:type="dxa"/>
            </w:tcMar>
            <w:vAlign w:val="center"/>
          </w:tcPr>
          <w:p w:rsidR="005B3C75" w:rsidRDefault="00FE5CEB">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rsidR="005B3C75" w:rsidRDefault="00FE5CEB">
            <w:pPr>
              <w:keepNext/>
              <w:keepLines/>
              <w:spacing w:after="0" w:line="240" w:lineRule="auto"/>
            </w:pPr>
            <w:r>
              <w:rPr>
                <w:sz w:val="18"/>
              </w:rPr>
              <w:t>38</w:t>
            </w:r>
          </w:p>
        </w:tc>
        <w:tc>
          <w:tcPr>
            <w:tcW w:w="1860" w:type="dxa"/>
            <w:tcMar>
              <w:top w:w="0" w:type="dxa"/>
              <w:bottom w:w="0" w:type="dxa"/>
            </w:tcMar>
            <w:vAlign w:val="center"/>
          </w:tcPr>
          <w:p w:rsidR="005B3C75" w:rsidRDefault="00FE5CEB">
            <w:pPr>
              <w:keepNext/>
              <w:keepLines/>
              <w:spacing w:after="0" w:line="240" w:lineRule="auto"/>
              <w:jc w:val="right"/>
            </w:pPr>
            <w:r>
              <w:rPr>
                <w:sz w:val="18"/>
              </w:rPr>
              <w:t>1.170,00</w:t>
            </w:r>
          </w:p>
        </w:tc>
        <w:tc>
          <w:tcPr>
            <w:tcW w:w="1860" w:type="dxa"/>
            <w:tcMar>
              <w:top w:w="0" w:type="dxa"/>
              <w:bottom w:w="0" w:type="dxa"/>
            </w:tcMar>
            <w:vAlign w:val="center"/>
          </w:tcPr>
          <w:p w:rsidR="005B3C75" w:rsidRDefault="00FE5CEB">
            <w:pPr>
              <w:keepNext/>
              <w:keepLines/>
              <w:spacing w:after="0" w:line="240" w:lineRule="auto"/>
              <w:jc w:val="right"/>
            </w:pPr>
            <w:r>
              <w:rPr>
                <w:sz w:val="18"/>
              </w:rPr>
              <w:t>0,00</w:t>
            </w:r>
          </w:p>
        </w:tc>
        <w:tc>
          <w:tcPr>
            <w:tcW w:w="700" w:type="dxa"/>
            <w:tcMar>
              <w:top w:w="0" w:type="dxa"/>
              <w:bottom w:w="0" w:type="dxa"/>
            </w:tcMar>
            <w:vAlign w:val="center"/>
          </w:tcPr>
          <w:p w:rsidR="005B3C75" w:rsidRDefault="00FE5CEB">
            <w:pPr>
              <w:keepNext/>
              <w:keepLines/>
              <w:spacing w:after="0" w:line="240" w:lineRule="auto"/>
              <w:jc w:val="right"/>
            </w:pPr>
            <w:r>
              <w:rPr>
                <w:sz w:val="18"/>
              </w:rPr>
              <w:t>0</w:t>
            </w:r>
          </w:p>
        </w:tc>
      </w:tr>
    </w:tbl>
    <w:p w:rsidR="005B3C75" w:rsidRDefault="005B3C75">
      <w:pPr>
        <w:spacing w:after="0"/>
      </w:pPr>
    </w:p>
    <w:p w:rsidR="005B3C75" w:rsidRDefault="00FE5CEB">
      <w:r>
        <w:t>Sve donacije išle su preko računa županije i evidentirane su na kontu 6631.</w:t>
      </w:r>
    </w:p>
    <w:p w:rsidR="005B3C75" w:rsidRDefault="005B3C75"/>
    <w:p w:rsidR="005B3C75" w:rsidRDefault="00FE5CEB">
      <w:pPr>
        <w:keepNext/>
        <w:spacing w:line="240" w:lineRule="auto"/>
        <w:jc w:val="center"/>
      </w:pPr>
      <w:r>
        <w:rPr>
          <w:sz w:val="28"/>
        </w:rPr>
        <w:t>Bilješka 16.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5B3C75">
            <w:pPr>
              <w:keepNext/>
              <w:keepLines/>
              <w:spacing w:after="0" w:line="240" w:lineRule="auto"/>
            </w:pPr>
          </w:p>
        </w:tc>
        <w:tc>
          <w:tcPr>
            <w:tcW w:w="3180" w:type="dxa"/>
            <w:tcMar>
              <w:top w:w="0" w:type="dxa"/>
              <w:bottom w:w="0" w:type="dxa"/>
            </w:tcMar>
            <w:vAlign w:val="center"/>
          </w:tcPr>
          <w:p w:rsidR="005B3C75" w:rsidRDefault="00FE5CEB">
            <w:pPr>
              <w:keepNext/>
              <w:keepLines/>
              <w:spacing w:after="0" w:line="240" w:lineRule="auto"/>
            </w:pPr>
            <w:r>
              <w:rPr>
                <w:sz w:val="18"/>
              </w:rPr>
              <w:t>MANJAK PRIHODA</w:t>
            </w:r>
            <w:r>
              <w:rPr>
                <w:sz w:val="18"/>
              </w:rPr>
              <w:t xml:space="preserve"> POSLOVANJA (šifre Z005-6)</w:t>
            </w:r>
          </w:p>
        </w:tc>
        <w:tc>
          <w:tcPr>
            <w:tcW w:w="700" w:type="dxa"/>
            <w:tcMar>
              <w:top w:w="0" w:type="dxa"/>
              <w:bottom w:w="0" w:type="dxa"/>
            </w:tcMar>
            <w:vAlign w:val="center"/>
          </w:tcPr>
          <w:p w:rsidR="005B3C75" w:rsidRDefault="00FE5CEB">
            <w:pPr>
              <w:keepNext/>
              <w:keepLines/>
              <w:spacing w:after="0" w:line="240" w:lineRule="auto"/>
            </w:pPr>
            <w:r>
              <w:rPr>
                <w:sz w:val="18"/>
              </w:rPr>
              <w:t>Y001</w:t>
            </w:r>
          </w:p>
        </w:tc>
        <w:tc>
          <w:tcPr>
            <w:tcW w:w="1860" w:type="dxa"/>
            <w:tcMar>
              <w:top w:w="0" w:type="dxa"/>
              <w:bottom w:w="0" w:type="dxa"/>
            </w:tcMar>
            <w:vAlign w:val="center"/>
          </w:tcPr>
          <w:p w:rsidR="005B3C75" w:rsidRDefault="00FE5CEB">
            <w:pPr>
              <w:keepNext/>
              <w:keepLines/>
              <w:spacing w:after="0" w:line="240" w:lineRule="auto"/>
              <w:jc w:val="right"/>
            </w:pPr>
            <w:r>
              <w:rPr>
                <w:sz w:val="18"/>
              </w:rPr>
              <w:t>18.519,24</w:t>
            </w:r>
          </w:p>
        </w:tc>
        <w:tc>
          <w:tcPr>
            <w:tcW w:w="1860" w:type="dxa"/>
            <w:tcMar>
              <w:top w:w="0" w:type="dxa"/>
              <w:bottom w:w="0" w:type="dxa"/>
            </w:tcMar>
            <w:vAlign w:val="center"/>
          </w:tcPr>
          <w:p w:rsidR="005B3C75" w:rsidRDefault="00FE5CEB">
            <w:pPr>
              <w:keepNext/>
              <w:keepLines/>
              <w:spacing w:after="0" w:line="240" w:lineRule="auto"/>
              <w:jc w:val="right"/>
            </w:pPr>
            <w:r>
              <w:rPr>
                <w:sz w:val="18"/>
              </w:rPr>
              <w:t>281.402,93</w:t>
            </w:r>
          </w:p>
        </w:tc>
        <w:tc>
          <w:tcPr>
            <w:tcW w:w="700" w:type="dxa"/>
            <w:tcMar>
              <w:top w:w="0" w:type="dxa"/>
              <w:bottom w:w="0" w:type="dxa"/>
            </w:tcMar>
            <w:vAlign w:val="center"/>
          </w:tcPr>
          <w:p w:rsidR="005B3C75" w:rsidRDefault="00FE5CEB">
            <w:pPr>
              <w:keepNext/>
              <w:keepLines/>
              <w:spacing w:after="0" w:line="240" w:lineRule="auto"/>
              <w:jc w:val="right"/>
            </w:pPr>
            <w:r>
              <w:rPr>
                <w:sz w:val="18"/>
              </w:rPr>
              <w:t>1519,5</w:t>
            </w:r>
          </w:p>
        </w:tc>
      </w:tr>
    </w:tbl>
    <w:p w:rsidR="005B3C75" w:rsidRDefault="005B3C75">
      <w:pPr>
        <w:spacing w:after="0"/>
      </w:pPr>
    </w:p>
    <w:p w:rsidR="005B3C75" w:rsidRDefault="00FE5CEB">
      <w:r>
        <w:t>Manjak prihoda poslovanja nastao je prvenstveno zbog povećanja rashoda za zaposlene jer je prema novom Pravilniku o proračunskom računovodstvu i računskom planu ukinuta podskupina 193 kontinuirani rashodi poslovanja, zbog kojeg u tekućem razdoblju imamo kn</w:t>
      </w:r>
      <w:r>
        <w:t>jiženo trinaest troškova plaće u odnosu na prošlogodišnjih dvanaest za isto razdoblje. Na manjak prihoda i primitaka osim plaće utjecali su i rashodi za nabavu materijala i obavljanja usluga.</w:t>
      </w:r>
    </w:p>
    <w:p w:rsidR="005B3C75" w:rsidRDefault="005B3C75"/>
    <w:p w:rsidR="005B3C75" w:rsidRDefault="00FE5CEB">
      <w:pPr>
        <w:keepNext/>
        <w:spacing w:line="240" w:lineRule="auto"/>
        <w:jc w:val="center"/>
      </w:pPr>
      <w:r>
        <w:rPr>
          <w:sz w:val="28"/>
        </w:rPr>
        <w:t>Bilješka 17.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96</w:t>
            </w:r>
          </w:p>
        </w:tc>
        <w:tc>
          <w:tcPr>
            <w:tcW w:w="3180" w:type="dxa"/>
            <w:tcMar>
              <w:top w:w="0" w:type="dxa"/>
              <w:bottom w:w="0" w:type="dxa"/>
            </w:tcMar>
            <w:vAlign w:val="center"/>
          </w:tcPr>
          <w:p w:rsidR="005B3C75" w:rsidRDefault="00FE5CEB">
            <w:pPr>
              <w:keepNext/>
              <w:keepLines/>
              <w:spacing w:after="0" w:line="240" w:lineRule="auto"/>
            </w:pPr>
            <w:r>
              <w:rPr>
                <w:sz w:val="18"/>
              </w:rPr>
              <w:t>Obračunati prihodi poslovanja - nenaplaćeni</w:t>
            </w:r>
          </w:p>
        </w:tc>
        <w:tc>
          <w:tcPr>
            <w:tcW w:w="700" w:type="dxa"/>
            <w:tcMar>
              <w:top w:w="0" w:type="dxa"/>
              <w:bottom w:w="0" w:type="dxa"/>
            </w:tcMar>
            <w:vAlign w:val="center"/>
          </w:tcPr>
          <w:p w:rsidR="005B3C75" w:rsidRDefault="00FE5CEB">
            <w:pPr>
              <w:keepNext/>
              <w:keepLines/>
              <w:spacing w:after="0" w:line="240" w:lineRule="auto"/>
            </w:pPr>
            <w:r>
              <w:rPr>
                <w:sz w:val="18"/>
              </w:rPr>
              <w:t>96</w:t>
            </w:r>
          </w:p>
        </w:tc>
        <w:tc>
          <w:tcPr>
            <w:tcW w:w="1860" w:type="dxa"/>
            <w:tcMar>
              <w:top w:w="0" w:type="dxa"/>
              <w:bottom w:w="0" w:type="dxa"/>
            </w:tcMar>
            <w:vAlign w:val="center"/>
          </w:tcPr>
          <w:p w:rsidR="005B3C75" w:rsidRDefault="00FE5CEB">
            <w:pPr>
              <w:keepNext/>
              <w:keepLines/>
              <w:spacing w:after="0" w:line="240" w:lineRule="auto"/>
              <w:jc w:val="right"/>
            </w:pPr>
            <w:r>
              <w:rPr>
                <w:sz w:val="18"/>
              </w:rPr>
              <w:t>5.621,50</w:t>
            </w:r>
          </w:p>
        </w:tc>
        <w:tc>
          <w:tcPr>
            <w:tcW w:w="1860" w:type="dxa"/>
            <w:tcMar>
              <w:top w:w="0" w:type="dxa"/>
              <w:bottom w:w="0" w:type="dxa"/>
            </w:tcMar>
            <w:vAlign w:val="center"/>
          </w:tcPr>
          <w:p w:rsidR="005B3C75" w:rsidRDefault="00FE5CEB">
            <w:pPr>
              <w:keepNext/>
              <w:keepLines/>
              <w:spacing w:after="0" w:line="240" w:lineRule="auto"/>
              <w:jc w:val="right"/>
            </w:pPr>
            <w:r>
              <w:rPr>
                <w:sz w:val="18"/>
              </w:rPr>
              <w:t>298.091,35</w:t>
            </w:r>
          </w:p>
        </w:tc>
        <w:tc>
          <w:tcPr>
            <w:tcW w:w="700" w:type="dxa"/>
            <w:tcMar>
              <w:top w:w="0" w:type="dxa"/>
              <w:bottom w:w="0" w:type="dxa"/>
            </w:tcMar>
            <w:vAlign w:val="center"/>
          </w:tcPr>
          <w:p w:rsidR="005B3C75" w:rsidRDefault="00FE5CEB">
            <w:pPr>
              <w:keepNext/>
              <w:keepLines/>
              <w:spacing w:after="0" w:line="240" w:lineRule="auto"/>
              <w:jc w:val="right"/>
            </w:pPr>
            <w:r>
              <w:rPr>
                <w:sz w:val="18"/>
              </w:rPr>
              <w:t>5302,7</w:t>
            </w:r>
          </w:p>
        </w:tc>
      </w:tr>
    </w:tbl>
    <w:p w:rsidR="005B3C75" w:rsidRDefault="005B3C75">
      <w:pPr>
        <w:spacing w:after="0"/>
      </w:pPr>
    </w:p>
    <w:p w:rsidR="005B3C75" w:rsidRDefault="00FE5CEB">
      <w:r>
        <w:lastRenderedPageBreak/>
        <w:t>Do povećanja je došlo zbog novog načina knjiženja obračuna plaće. U iznosu obračunatih prihoda poslovanja-</w:t>
      </w:r>
      <w:proofErr w:type="spellStart"/>
      <w:r>
        <w:t>nenaplačeni</w:t>
      </w:r>
      <w:proofErr w:type="spellEnd"/>
      <w:r>
        <w:t xml:space="preserve"> je iznos obračuna plaće za 12. mjesec te iznos evidentiranih računa za sirovine i usluge</w:t>
      </w:r>
    </w:p>
    <w:p w:rsidR="005B3C75" w:rsidRDefault="00FE5CEB">
      <w:pPr>
        <w:keepNext/>
        <w:spacing w:line="240" w:lineRule="auto"/>
        <w:jc w:val="center"/>
      </w:pPr>
      <w:r>
        <w:rPr>
          <w:sz w:val="28"/>
        </w:rPr>
        <w:t>Bilješka 18.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w:t>
            </w:r>
            <w:r>
              <w:rPr>
                <w:b/>
                <w:sz w:val="18"/>
              </w:rPr>
              <w:t>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4</w:t>
            </w:r>
          </w:p>
        </w:tc>
        <w:tc>
          <w:tcPr>
            <w:tcW w:w="3180" w:type="dxa"/>
            <w:tcMar>
              <w:top w:w="0" w:type="dxa"/>
              <w:bottom w:w="0" w:type="dxa"/>
            </w:tcMar>
            <w:vAlign w:val="center"/>
          </w:tcPr>
          <w:p w:rsidR="005B3C75" w:rsidRDefault="00FE5CEB">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5B3C75" w:rsidRDefault="00FE5CEB">
            <w:pPr>
              <w:keepNext/>
              <w:keepLines/>
              <w:spacing w:after="0" w:line="240" w:lineRule="auto"/>
            </w:pPr>
            <w:r>
              <w:rPr>
                <w:sz w:val="18"/>
              </w:rPr>
              <w:t>4</w:t>
            </w:r>
          </w:p>
        </w:tc>
        <w:tc>
          <w:tcPr>
            <w:tcW w:w="1860" w:type="dxa"/>
            <w:tcMar>
              <w:top w:w="0" w:type="dxa"/>
              <w:bottom w:w="0" w:type="dxa"/>
            </w:tcMar>
            <w:vAlign w:val="center"/>
          </w:tcPr>
          <w:p w:rsidR="005B3C75" w:rsidRDefault="00FE5CEB">
            <w:pPr>
              <w:keepNext/>
              <w:keepLines/>
              <w:spacing w:after="0" w:line="240" w:lineRule="auto"/>
              <w:jc w:val="right"/>
            </w:pPr>
            <w:r>
              <w:rPr>
                <w:sz w:val="18"/>
              </w:rPr>
              <w:t>5.325,43</w:t>
            </w:r>
          </w:p>
        </w:tc>
        <w:tc>
          <w:tcPr>
            <w:tcW w:w="1860" w:type="dxa"/>
            <w:tcMar>
              <w:top w:w="0" w:type="dxa"/>
              <w:bottom w:w="0" w:type="dxa"/>
            </w:tcMar>
            <w:vAlign w:val="center"/>
          </w:tcPr>
          <w:p w:rsidR="005B3C75" w:rsidRDefault="00FE5CEB">
            <w:pPr>
              <w:keepNext/>
              <w:keepLines/>
              <w:spacing w:after="0" w:line="240" w:lineRule="auto"/>
              <w:jc w:val="right"/>
            </w:pPr>
            <w:r>
              <w:rPr>
                <w:sz w:val="18"/>
              </w:rPr>
              <w:t>29.594,35</w:t>
            </w:r>
          </w:p>
        </w:tc>
        <w:tc>
          <w:tcPr>
            <w:tcW w:w="700" w:type="dxa"/>
            <w:tcMar>
              <w:top w:w="0" w:type="dxa"/>
              <w:bottom w:w="0" w:type="dxa"/>
            </w:tcMar>
            <w:vAlign w:val="center"/>
          </w:tcPr>
          <w:p w:rsidR="005B3C75" w:rsidRDefault="00FE5CEB">
            <w:pPr>
              <w:keepNext/>
              <w:keepLines/>
              <w:spacing w:after="0" w:line="240" w:lineRule="auto"/>
              <w:jc w:val="right"/>
            </w:pPr>
            <w:r>
              <w:rPr>
                <w:sz w:val="18"/>
              </w:rPr>
              <w:t>555,7</w:t>
            </w:r>
          </w:p>
        </w:tc>
      </w:tr>
    </w:tbl>
    <w:p w:rsidR="005B3C75" w:rsidRDefault="005B3C75">
      <w:pPr>
        <w:spacing w:after="0"/>
      </w:pPr>
    </w:p>
    <w:p w:rsidR="005B3C75" w:rsidRDefault="00FE5CEB">
      <w:r>
        <w:t>U 2025. godini više se ulagalo u nabavu nefinancijske imovine (sportska i glazbena oprema, računalna oprema i knjige) u odnosu na prošlo izvještajno razdoblje.</w:t>
      </w:r>
    </w:p>
    <w:p w:rsidR="005B3C75" w:rsidRDefault="00FE5CEB">
      <w:pPr>
        <w:keepNext/>
        <w:spacing w:line="240" w:lineRule="auto"/>
        <w:jc w:val="center"/>
      </w:pPr>
      <w:r>
        <w:rPr>
          <w:sz w:val="28"/>
        </w:rPr>
        <w:t>Bilješka 19.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prethodne</w:t>
            </w:r>
            <w:r>
              <w:rPr>
                <w:b/>
                <w:sz w:val="18"/>
              </w:rPr>
              <w:t xml:space="preserv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5B3C75">
            <w:pPr>
              <w:keepNext/>
              <w:keepLines/>
              <w:spacing w:after="0" w:line="240" w:lineRule="auto"/>
            </w:pPr>
          </w:p>
        </w:tc>
        <w:tc>
          <w:tcPr>
            <w:tcW w:w="3180" w:type="dxa"/>
            <w:tcMar>
              <w:top w:w="0" w:type="dxa"/>
              <w:bottom w:w="0" w:type="dxa"/>
            </w:tcMar>
            <w:vAlign w:val="center"/>
          </w:tcPr>
          <w:p w:rsidR="005B3C75" w:rsidRDefault="00FE5CEB">
            <w:pPr>
              <w:keepNext/>
              <w:keepLines/>
              <w:spacing w:after="0" w:line="240" w:lineRule="auto"/>
            </w:pPr>
            <w:r>
              <w:rPr>
                <w:sz w:val="18"/>
              </w:rPr>
              <w:t>UKUPAN MANJAK PRIHODA (šifre Y034-X067)</w:t>
            </w:r>
          </w:p>
        </w:tc>
        <w:tc>
          <w:tcPr>
            <w:tcW w:w="700" w:type="dxa"/>
            <w:tcMar>
              <w:top w:w="0" w:type="dxa"/>
              <w:bottom w:w="0" w:type="dxa"/>
            </w:tcMar>
            <w:vAlign w:val="center"/>
          </w:tcPr>
          <w:p w:rsidR="005B3C75" w:rsidRDefault="00FE5CEB">
            <w:pPr>
              <w:keepNext/>
              <w:keepLines/>
              <w:spacing w:after="0" w:line="240" w:lineRule="auto"/>
            </w:pPr>
            <w:r>
              <w:rPr>
                <w:sz w:val="18"/>
              </w:rPr>
              <w:t>Y004</w:t>
            </w:r>
          </w:p>
        </w:tc>
        <w:tc>
          <w:tcPr>
            <w:tcW w:w="1860" w:type="dxa"/>
            <w:tcMar>
              <w:top w:w="0" w:type="dxa"/>
              <w:bottom w:w="0" w:type="dxa"/>
            </w:tcMar>
            <w:vAlign w:val="center"/>
          </w:tcPr>
          <w:p w:rsidR="005B3C75" w:rsidRDefault="00FE5CEB">
            <w:pPr>
              <w:keepNext/>
              <w:keepLines/>
              <w:spacing w:after="0" w:line="240" w:lineRule="auto"/>
              <w:jc w:val="right"/>
            </w:pPr>
            <w:r>
              <w:rPr>
                <w:sz w:val="18"/>
              </w:rPr>
              <w:t>23.844,67</w:t>
            </w:r>
          </w:p>
        </w:tc>
        <w:tc>
          <w:tcPr>
            <w:tcW w:w="1860" w:type="dxa"/>
            <w:tcMar>
              <w:top w:w="0" w:type="dxa"/>
              <w:bottom w:w="0" w:type="dxa"/>
            </w:tcMar>
            <w:vAlign w:val="center"/>
          </w:tcPr>
          <w:p w:rsidR="005B3C75" w:rsidRDefault="00FE5CEB">
            <w:pPr>
              <w:keepNext/>
              <w:keepLines/>
              <w:spacing w:after="0" w:line="240" w:lineRule="auto"/>
              <w:jc w:val="right"/>
            </w:pPr>
            <w:r>
              <w:rPr>
                <w:sz w:val="18"/>
              </w:rPr>
              <w:t>310.997,28</w:t>
            </w:r>
          </w:p>
        </w:tc>
        <w:tc>
          <w:tcPr>
            <w:tcW w:w="700" w:type="dxa"/>
            <w:tcMar>
              <w:top w:w="0" w:type="dxa"/>
              <w:bottom w:w="0" w:type="dxa"/>
            </w:tcMar>
            <w:vAlign w:val="center"/>
          </w:tcPr>
          <w:p w:rsidR="005B3C75" w:rsidRDefault="00FE5CEB">
            <w:pPr>
              <w:keepNext/>
              <w:keepLines/>
              <w:spacing w:after="0" w:line="240" w:lineRule="auto"/>
              <w:jc w:val="right"/>
            </w:pPr>
            <w:r>
              <w:rPr>
                <w:sz w:val="18"/>
              </w:rPr>
              <w:t>1304,3</w:t>
            </w:r>
          </w:p>
        </w:tc>
      </w:tr>
    </w:tbl>
    <w:p w:rsidR="005B3C75" w:rsidRDefault="005B3C75">
      <w:pPr>
        <w:spacing w:after="0"/>
      </w:pPr>
    </w:p>
    <w:p w:rsidR="005B3C75" w:rsidRDefault="00FE5CEB">
      <w:r>
        <w:t>U izvještajnom razdoblju evidentiran je manja prihoda koji proizlazi  iz knjiženja rashoda za plaće zaposlenika, kao i iz obračuna i knjiženja obveza po računima zaprimljenim u prosincu. Prema odredbama Pravilnika o proračunskom računovodstvu i računskom p</w:t>
      </w:r>
      <w:r>
        <w:t>lanu rashodi se priznaju u trenutku nastanka poslovnog događaja i poslovne obveze u obračunskom razdoblju na koje se odnose, neovisno o plaćanju, dok se prihodi priznaju kada su naplaćeni. U konkretnom slučaju rashodi za plaće evidentirani su u izvještajno</w:t>
      </w:r>
      <w:r>
        <w:t>m razdoblju na koje se odnose, dok odgovarajući prihodi (sredstva iz proračuna) do sastavljanja izvještaja još nisu naplaćeni niti postali raspoloživi. Takvo stanje dovodi do privremenog manjka prihoda zbog vremenske razlike između priznavanja rashoda i na</w:t>
      </w:r>
      <w:r>
        <w:t>plate prihoda,a što je u skladu s računovodstvenim načelima propisanim u RH.</w:t>
      </w:r>
    </w:p>
    <w:p w:rsidR="005B3C75" w:rsidRDefault="00FE5CEB">
      <w:r>
        <w:t> </w:t>
      </w:r>
    </w:p>
    <w:p w:rsidR="005B3C75" w:rsidRDefault="00FE5CEB">
      <w:r>
        <w:t>Ukupni rashodi za zaposlene iznose 303.000,61 EUR, rashodi po računima 24.082,31 EUR.</w:t>
      </w:r>
    </w:p>
    <w:p w:rsidR="005B3C75" w:rsidRDefault="005B3C75"/>
    <w:p w:rsidR="005B3C75" w:rsidRDefault="00FE5CEB">
      <w:pPr>
        <w:keepNext/>
        <w:spacing w:line="240" w:lineRule="auto"/>
        <w:jc w:val="center"/>
      </w:pPr>
      <w:r>
        <w:rPr>
          <w:sz w:val="28"/>
        </w:rPr>
        <w:t>Bilješka 20.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pret</w:t>
            </w:r>
            <w:r>
              <w:rPr>
                <w:b/>
                <w:sz w:val="18"/>
              </w:rPr>
              <w: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9221x, 9222x</w:t>
            </w:r>
          </w:p>
        </w:tc>
        <w:tc>
          <w:tcPr>
            <w:tcW w:w="3180" w:type="dxa"/>
            <w:tcMar>
              <w:top w:w="0" w:type="dxa"/>
              <w:bottom w:w="0" w:type="dxa"/>
            </w:tcMar>
            <w:vAlign w:val="center"/>
          </w:tcPr>
          <w:p w:rsidR="005B3C75" w:rsidRDefault="00FE5CEB">
            <w:pPr>
              <w:keepNext/>
              <w:keepLines/>
              <w:spacing w:after="0" w:line="240" w:lineRule="auto"/>
            </w:pPr>
            <w:r>
              <w:rPr>
                <w:sz w:val="18"/>
              </w:rPr>
              <w:t>Višak prihoda - preneseni (šifre 92211+92212-92221-92222)</w:t>
            </w:r>
          </w:p>
        </w:tc>
        <w:tc>
          <w:tcPr>
            <w:tcW w:w="700" w:type="dxa"/>
            <w:tcMar>
              <w:top w:w="0" w:type="dxa"/>
              <w:bottom w:w="0" w:type="dxa"/>
            </w:tcMar>
            <w:vAlign w:val="center"/>
          </w:tcPr>
          <w:p w:rsidR="005B3C75" w:rsidRDefault="00FE5CEB">
            <w:pPr>
              <w:keepNext/>
              <w:keepLines/>
              <w:spacing w:after="0" w:line="240" w:lineRule="auto"/>
            </w:pPr>
            <w:r>
              <w:rPr>
                <w:sz w:val="18"/>
              </w:rPr>
              <w:t>9221x,9222x VP</w:t>
            </w:r>
          </w:p>
        </w:tc>
        <w:tc>
          <w:tcPr>
            <w:tcW w:w="1860" w:type="dxa"/>
            <w:tcMar>
              <w:top w:w="0" w:type="dxa"/>
              <w:bottom w:w="0" w:type="dxa"/>
            </w:tcMar>
            <w:vAlign w:val="center"/>
          </w:tcPr>
          <w:p w:rsidR="005B3C75" w:rsidRDefault="00FE5CEB">
            <w:pPr>
              <w:keepNext/>
              <w:keepLines/>
              <w:spacing w:after="0" w:line="240" w:lineRule="auto"/>
              <w:jc w:val="right"/>
            </w:pPr>
            <w:r>
              <w:rPr>
                <w:sz w:val="18"/>
              </w:rPr>
              <w:t>54.087,57</w:t>
            </w:r>
          </w:p>
        </w:tc>
        <w:tc>
          <w:tcPr>
            <w:tcW w:w="1860" w:type="dxa"/>
            <w:tcMar>
              <w:top w:w="0" w:type="dxa"/>
              <w:bottom w:w="0" w:type="dxa"/>
            </w:tcMar>
            <w:vAlign w:val="center"/>
          </w:tcPr>
          <w:p w:rsidR="005B3C75" w:rsidRDefault="00FE5CEB">
            <w:pPr>
              <w:keepNext/>
              <w:keepLines/>
              <w:spacing w:after="0" w:line="240" w:lineRule="auto"/>
              <w:jc w:val="right"/>
            </w:pPr>
            <w:r>
              <w:rPr>
                <w:sz w:val="18"/>
              </w:rPr>
              <w:t>28.557,15</w:t>
            </w:r>
          </w:p>
        </w:tc>
        <w:tc>
          <w:tcPr>
            <w:tcW w:w="700" w:type="dxa"/>
            <w:tcMar>
              <w:top w:w="0" w:type="dxa"/>
              <w:bottom w:w="0" w:type="dxa"/>
            </w:tcMar>
            <w:vAlign w:val="center"/>
          </w:tcPr>
          <w:p w:rsidR="005B3C75" w:rsidRDefault="00FE5CEB">
            <w:pPr>
              <w:keepNext/>
              <w:keepLines/>
              <w:spacing w:after="0" w:line="240" w:lineRule="auto"/>
              <w:jc w:val="right"/>
            </w:pPr>
            <w:r>
              <w:rPr>
                <w:sz w:val="18"/>
              </w:rPr>
              <w:t>52,8</w:t>
            </w:r>
          </w:p>
        </w:tc>
      </w:tr>
    </w:tbl>
    <w:p w:rsidR="005B3C75" w:rsidRDefault="005B3C75">
      <w:pPr>
        <w:spacing w:after="0"/>
      </w:pPr>
    </w:p>
    <w:p w:rsidR="005B3C75" w:rsidRDefault="00FE5CEB">
      <w:r>
        <w:lastRenderedPageBreak/>
        <w:t>U 2024. godini evidentiran je preneseni višak prihoda u iznosu od 54.087,57 EUR. Iz navedenog je podmiren tekući manjak prihoda od 23.844,67 EUR te je u 2025. godinu preneseno 30.242,90 EUR.</w:t>
      </w:r>
    </w:p>
    <w:p w:rsidR="005B3C75" w:rsidRDefault="00FE5CEB">
      <w:r>
        <w:t>U prethodnom razdoblju utvrđene su pogreške u evidentiranju priho</w:t>
      </w:r>
      <w:r>
        <w:t>da/rashoda za 2024. godinu zbog čega je došlo do prenesenih iznosa koji nisu odgovarali stvarnom stanju zbog čega je rađen ispravak kojim je usklađena knjigovodstvena evidencija sa stvarnim podacima. Utvrđeno je stvarno stanje obveza za zaposlene, obveza p</w:t>
      </w:r>
      <w:r>
        <w:t>rema dobavljačima te potraživanja od kupca te isto nije odgovaralo knjigovodstvenom stanju. Napravljeni su ispravci preko konta 92214 i 922240 koji su utjecali na rezultat poslovanja prethodnog razdoblja. Višak prihoda poslovanja po prethodnom razdoblju iz</w:t>
      </w:r>
      <w:r>
        <w:t>nosio je  7.150,10 EUR dok je manjak bio 8.835,85 EUR.</w:t>
      </w:r>
    </w:p>
    <w:p w:rsidR="005B3C75" w:rsidRDefault="00FE5CEB">
      <w:r>
        <w:t>Rezultat korekcije odnosno manjak prihoda od 1685,75 EUR smanjio je iznos prenesenog viška na 28.557,15 EUR (30.242,90-1.685,75).</w:t>
      </w:r>
    </w:p>
    <w:p w:rsidR="005B3C75" w:rsidRDefault="00FE5CEB">
      <w:r>
        <w:t> </w:t>
      </w:r>
    </w:p>
    <w:p w:rsidR="005B3C75" w:rsidRDefault="00FE5CEB">
      <w:pPr>
        <w:keepNext/>
        <w:spacing w:line="240" w:lineRule="auto"/>
        <w:jc w:val="center"/>
      </w:pPr>
      <w:r>
        <w:rPr>
          <w:sz w:val="28"/>
        </w:rPr>
        <w:t>Bilješka 21.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w:t>
            </w:r>
            <w:r>
              <w:rPr>
                <w:b/>
                <w:sz w:val="18"/>
              </w:rPr>
              <w:t>ještajnom razdoblju prethodne godine</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FE5CEB">
            <w:pPr>
              <w:keepNext/>
              <w:keepLines/>
              <w:spacing w:after="0" w:line="240" w:lineRule="auto"/>
            </w:pPr>
            <w:r>
              <w:rPr>
                <w:sz w:val="18"/>
              </w:rPr>
              <w:t>96, 97</w:t>
            </w:r>
          </w:p>
        </w:tc>
        <w:tc>
          <w:tcPr>
            <w:tcW w:w="3180" w:type="dxa"/>
            <w:tcMar>
              <w:top w:w="0" w:type="dxa"/>
              <w:bottom w:w="0" w:type="dxa"/>
            </w:tcMar>
            <w:vAlign w:val="center"/>
          </w:tcPr>
          <w:p w:rsidR="005B3C75" w:rsidRDefault="00FE5CEB">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rsidR="005B3C75" w:rsidRDefault="00FE5CEB">
            <w:pPr>
              <w:keepNext/>
              <w:keepLines/>
              <w:spacing w:after="0" w:line="240" w:lineRule="auto"/>
            </w:pPr>
            <w:r>
              <w:rPr>
                <w:sz w:val="18"/>
              </w:rPr>
              <w:t>96,97</w:t>
            </w:r>
          </w:p>
        </w:tc>
        <w:tc>
          <w:tcPr>
            <w:tcW w:w="1860" w:type="dxa"/>
            <w:tcMar>
              <w:top w:w="0" w:type="dxa"/>
              <w:bottom w:w="0" w:type="dxa"/>
            </w:tcMar>
            <w:vAlign w:val="center"/>
          </w:tcPr>
          <w:p w:rsidR="005B3C75" w:rsidRDefault="00FE5CEB">
            <w:pPr>
              <w:keepNext/>
              <w:keepLines/>
              <w:spacing w:after="0" w:line="240" w:lineRule="auto"/>
              <w:jc w:val="right"/>
            </w:pPr>
            <w:r>
              <w:rPr>
                <w:sz w:val="18"/>
              </w:rPr>
              <w:t>5.621,50</w:t>
            </w:r>
          </w:p>
        </w:tc>
        <w:tc>
          <w:tcPr>
            <w:tcW w:w="1860" w:type="dxa"/>
            <w:tcMar>
              <w:top w:w="0" w:type="dxa"/>
              <w:bottom w:w="0" w:type="dxa"/>
            </w:tcMar>
            <w:vAlign w:val="center"/>
          </w:tcPr>
          <w:p w:rsidR="005B3C75" w:rsidRDefault="00FE5CEB">
            <w:pPr>
              <w:keepNext/>
              <w:keepLines/>
              <w:spacing w:after="0" w:line="240" w:lineRule="auto"/>
              <w:jc w:val="right"/>
            </w:pPr>
            <w:r>
              <w:rPr>
                <w:sz w:val="18"/>
              </w:rPr>
              <w:t>298.091,35</w:t>
            </w:r>
          </w:p>
        </w:tc>
        <w:tc>
          <w:tcPr>
            <w:tcW w:w="700" w:type="dxa"/>
            <w:tcMar>
              <w:top w:w="0" w:type="dxa"/>
              <w:bottom w:w="0" w:type="dxa"/>
            </w:tcMar>
            <w:vAlign w:val="center"/>
          </w:tcPr>
          <w:p w:rsidR="005B3C75" w:rsidRDefault="00FE5CEB">
            <w:pPr>
              <w:keepNext/>
              <w:keepLines/>
              <w:spacing w:after="0" w:line="240" w:lineRule="auto"/>
              <w:jc w:val="right"/>
            </w:pPr>
            <w:r>
              <w:rPr>
                <w:sz w:val="18"/>
              </w:rPr>
              <w:t>5302,7</w:t>
            </w:r>
          </w:p>
        </w:tc>
      </w:tr>
    </w:tbl>
    <w:p w:rsidR="005B3C75" w:rsidRDefault="005B3C75">
      <w:pPr>
        <w:spacing w:after="0"/>
      </w:pPr>
    </w:p>
    <w:p w:rsidR="005B3C75" w:rsidRDefault="00FE5CEB">
      <w:r>
        <w:t>Ukupan iznos nenaplaćenih, a obračunatih prihoda poslovanja iznosi 298.091,35 EUR:</w:t>
      </w:r>
    </w:p>
    <w:p w:rsidR="005B3C75" w:rsidRDefault="00FE5CEB">
      <w:pPr>
        <w:pStyle w:val="Odlomakpopisa"/>
        <w:numPr>
          <w:ilvl w:val="0"/>
          <w:numId w:val="1"/>
        </w:numPr>
      </w:pPr>
      <w:r>
        <w:t>286.687,68 su nenaplaćeni prihodi za plaće zaposlenih,</w:t>
      </w:r>
    </w:p>
    <w:p w:rsidR="005B3C75" w:rsidRDefault="00FE5CEB">
      <w:pPr>
        <w:pStyle w:val="Odlomakpopisa"/>
        <w:numPr>
          <w:ilvl w:val="0"/>
          <w:numId w:val="1"/>
        </w:numPr>
      </w:pPr>
      <w:r>
        <w:t>8.945,50 su ostali nenaplaćeni prihodi koji se odnose na prihod od Glazbene škole i PB,</w:t>
      </w:r>
    </w:p>
    <w:p w:rsidR="005B3C75" w:rsidRDefault="00FE5CEB">
      <w:pPr>
        <w:pStyle w:val="Odlomakpopisa"/>
        <w:numPr>
          <w:ilvl w:val="0"/>
          <w:numId w:val="1"/>
        </w:numPr>
      </w:pPr>
      <w:r>
        <w:t>2.458,17 su prihodi od pruženi</w:t>
      </w:r>
      <w:r>
        <w:t>h usluga(najma školskog prostora).</w:t>
      </w:r>
    </w:p>
    <w:p w:rsidR="005B3C75" w:rsidRDefault="00FE5CEB">
      <w:r>
        <w:t>Riječ je o potraživanjima od nadležnog proračuna, osnivača, roditelja i drugih ustanova za koje se naplata očekuje u narednom razdoblju.</w:t>
      </w:r>
    </w:p>
    <w:p w:rsidR="005B3C75" w:rsidRDefault="005B3C75"/>
    <w:p w:rsidR="005B3C75" w:rsidRDefault="00FE5CEB">
      <w:pPr>
        <w:keepNext/>
        <w:spacing w:line="240" w:lineRule="auto"/>
        <w:jc w:val="center"/>
      </w:pPr>
      <w:r>
        <w:rPr>
          <w:b/>
          <w:sz w:val="28"/>
        </w:rPr>
        <w:t>Promjene u vrijednosti i obujmu imovine i obveza</w:t>
      </w:r>
    </w:p>
    <w:p w:rsidR="005B3C75" w:rsidRDefault="00FE5CEB">
      <w:pPr>
        <w:keepNext/>
        <w:spacing w:line="240" w:lineRule="auto"/>
        <w:jc w:val="center"/>
      </w:pPr>
      <w:r>
        <w:rPr>
          <w:sz w:val="28"/>
        </w:rPr>
        <w:t>Bilješka 22.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w:t>
            </w:r>
            <w:r>
              <w:rPr>
                <w:b/>
                <w:sz w:val="18"/>
              </w:rPr>
              <w:t>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5B3C75">
            <w:pPr>
              <w:keepNext/>
              <w:keepLines/>
              <w:spacing w:after="0" w:line="240" w:lineRule="auto"/>
            </w:pPr>
          </w:p>
        </w:tc>
        <w:tc>
          <w:tcPr>
            <w:tcW w:w="3180" w:type="dxa"/>
            <w:tcMar>
              <w:top w:w="0" w:type="dxa"/>
              <w:bottom w:w="0" w:type="dxa"/>
            </w:tcMar>
            <w:vAlign w:val="center"/>
          </w:tcPr>
          <w:p w:rsidR="005B3C75" w:rsidRDefault="00FE5CEB">
            <w:pPr>
              <w:keepNext/>
              <w:keepLines/>
              <w:spacing w:after="0" w:line="240" w:lineRule="auto"/>
            </w:pPr>
            <w:r>
              <w:rPr>
                <w:sz w:val="18"/>
              </w:rPr>
              <w:t>Proizvedena dugotrajna imovina</w:t>
            </w:r>
          </w:p>
        </w:tc>
        <w:tc>
          <w:tcPr>
            <w:tcW w:w="700" w:type="dxa"/>
            <w:tcMar>
              <w:top w:w="0" w:type="dxa"/>
              <w:bottom w:w="0" w:type="dxa"/>
            </w:tcMar>
            <w:vAlign w:val="center"/>
          </w:tcPr>
          <w:p w:rsidR="005B3C75" w:rsidRDefault="00FE5CEB">
            <w:pPr>
              <w:keepNext/>
              <w:keepLines/>
              <w:spacing w:after="0" w:line="240" w:lineRule="auto"/>
            </w:pPr>
            <w:r>
              <w:rPr>
                <w:sz w:val="18"/>
              </w:rPr>
              <w:t>P003</w:t>
            </w:r>
          </w:p>
        </w:tc>
        <w:tc>
          <w:tcPr>
            <w:tcW w:w="1860" w:type="dxa"/>
            <w:tcMar>
              <w:top w:w="0" w:type="dxa"/>
              <w:bottom w:w="0" w:type="dxa"/>
            </w:tcMar>
            <w:vAlign w:val="center"/>
          </w:tcPr>
          <w:p w:rsidR="005B3C75" w:rsidRDefault="00FE5CEB">
            <w:pPr>
              <w:keepNext/>
              <w:keepLines/>
              <w:spacing w:after="0" w:line="240" w:lineRule="auto"/>
              <w:jc w:val="right"/>
            </w:pPr>
            <w:r>
              <w:rPr>
                <w:sz w:val="18"/>
              </w:rPr>
              <w:t>0,00</w:t>
            </w:r>
          </w:p>
        </w:tc>
        <w:tc>
          <w:tcPr>
            <w:tcW w:w="1860" w:type="dxa"/>
            <w:tcMar>
              <w:top w:w="0" w:type="dxa"/>
              <w:bottom w:w="0" w:type="dxa"/>
            </w:tcMar>
            <w:vAlign w:val="center"/>
          </w:tcPr>
          <w:p w:rsidR="005B3C75" w:rsidRDefault="00FE5CEB">
            <w:pPr>
              <w:keepNext/>
              <w:keepLines/>
              <w:spacing w:after="0" w:line="240" w:lineRule="auto"/>
              <w:jc w:val="right"/>
            </w:pPr>
            <w:r>
              <w:rPr>
                <w:sz w:val="18"/>
              </w:rPr>
              <w:t>88.616,17</w:t>
            </w:r>
          </w:p>
        </w:tc>
        <w:tc>
          <w:tcPr>
            <w:tcW w:w="700" w:type="dxa"/>
            <w:tcMar>
              <w:top w:w="0" w:type="dxa"/>
              <w:bottom w:w="0" w:type="dxa"/>
            </w:tcMar>
            <w:vAlign w:val="center"/>
          </w:tcPr>
          <w:p w:rsidR="005B3C75" w:rsidRDefault="00FE5CEB">
            <w:pPr>
              <w:keepNext/>
              <w:keepLines/>
              <w:spacing w:after="0" w:line="240" w:lineRule="auto"/>
              <w:jc w:val="right"/>
            </w:pPr>
            <w:r>
              <w:rPr>
                <w:sz w:val="18"/>
              </w:rPr>
              <w:t>-</w:t>
            </w:r>
          </w:p>
        </w:tc>
      </w:tr>
    </w:tbl>
    <w:p w:rsidR="005B3C75" w:rsidRDefault="005B3C75">
      <w:pPr>
        <w:spacing w:after="0"/>
      </w:pPr>
    </w:p>
    <w:p w:rsidR="005B3C75" w:rsidRDefault="00FE5CEB">
      <w:r>
        <w:t xml:space="preserve">U izvještajnom razdoblju evidentiranI su rashodi za amortizaciju u iznosu od 88.616,17 EUR . Amortizacija se odnosi na obračun dugotrajne materijalne i nematerijalne imovine škole koja </w:t>
      </w:r>
      <w:r>
        <w:lastRenderedPageBreak/>
        <w:t xml:space="preserve">je u </w:t>
      </w:r>
      <w:proofErr w:type="spellStart"/>
      <w:r>
        <w:t>uotrebi</w:t>
      </w:r>
      <w:proofErr w:type="spellEnd"/>
      <w:r>
        <w:t xml:space="preserve"> te je obračunata sukladno važećim računovodstvenim propisi</w:t>
      </w:r>
      <w:r>
        <w:t>ma i primjenom propisanih amortizacijskih stopa.</w:t>
      </w:r>
    </w:p>
    <w:p w:rsidR="005B3C75" w:rsidRDefault="00FE5CEB">
      <w:pPr>
        <w:keepNext/>
        <w:spacing w:line="240" w:lineRule="auto"/>
        <w:jc w:val="center"/>
      </w:pPr>
      <w:r>
        <w:rPr>
          <w:b/>
          <w:sz w:val="28"/>
        </w:rPr>
        <w:t>Izvještaj o obvezama</w:t>
      </w:r>
    </w:p>
    <w:p w:rsidR="005B3C75" w:rsidRDefault="00FE5CEB">
      <w:pPr>
        <w:keepNext/>
        <w:spacing w:line="240" w:lineRule="auto"/>
        <w:jc w:val="center"/>
      </w:pPr>
      <w:r>
        <w:rPr>
          <w:sz w:val="28"/>
        </w:rPr>
        <w:t>Bilješka 23.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5B3C75">
        <w:tblPrEx>
          <w:tblCellMar>
            <w:top w:w="0" w:type="dxa"/>
            <w:bottom w:w="0" w:type="dxa"/>
          </w:tblCellMar>
        </w:tblPrEx>
        <w:trPr>
          <w:cantSplit/>
        </w:trPr>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5B3C75" w:rsidRDefault="00FE5CEB">
            <w:pPr>
              <w:keepNext/>
              <w:keepLines/>
              <w:spacing w:after="0" w:line="240" w:lineRule="auto"/>
              <w:jc w:val="center"/>
            </w:pPr>
            <w:r>
              <w:rPr>
                <w:b/>
                <w:sz w:val="18"/>
              </w:rPr>
              <w:t>Indeks (%)</w:t>
            </w:r>
          </w:p>
        </w:tc>
      </w:tr>
      <w:tr w:rsidR="005B3C75">
        <w:tblPrEx>
          <w:tblCellMar>
            <w:top w:w="0" w:type="dxa"/>
            <w:bottom w:w="0" w:type="dxa"/>
          </w:tblCellMar>
        </w:tblPrEx>
        <w:trPr>
          <w:cantSplit/>
          <w:trHeight w:val="560"/>
        </w:trPr>
        <w:tc>
          <w:tcPr>
            <w:tcW w:w="700" w:type="dxa"/>
            <w:tcMar>
              <w:top w:w="0" w:type="dxa"/>
              <w:bottom w:w="0" w:type="dxa"/>
            </w:tcMar>
            <w:vAlign w:val="center"/>
          </w:tcPr>
          <w:p w:rsidR="005B3C75" w:rsidRDefault="005B3C75">
            <w:pPr>
              <w:keepNext/>
              <w:keepLines/>
              <w:spacing w:after="0" w:line="240" w:lineRule="auto"/>
            </w:pPr>
          </w:p>
        </w:tc>
        <w:tc>
          <w:tcPr>
            <w:tcW w:w="3180" w:type="dxa"/>
            <w:tcMar>
              <w:top w:w="0" w:type="dxa"/>
              <w:bottom w:w="0" w:type="dxa"/>
            </w:tcMar>
            <w:vAlign w:val="center"/>
          </w:tcPr>
          <w:p w:rsidR="005B3C75" w:rsidRDefault="00FE5CEB">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5B3C75" w:rsidRDefault="00FE5CEB">
            <w:pPr>
              <w:keepNext/>
              <w:keepLines/>
              <w:spacing w:after="0" w:line="240" w:lineRule="auto"/>
            </w:pPr>
            <w:r>
              <w:rPr>
                <w:sz w:val="18"/>
              </w:rPr>
              <w:t>V007</w:t>
            </w:r>
          </w:p>
        </w:tc>
        <w:tc>
          <w:tcPr>
            <w:tcW w:w="1860" w:type="dxa"/>
            <w:tcMar>
              <w:top w:w="0" w:type="dxa"/>
              <w:bottom w:w="0" w:type="dxa"/>
            </w:tcMar>
            <w:vAlign w:val="center"/>
          </w:tcPr>
          <w:p w:rsidR="005B3C75" w:rsidRDefault="00FE5CEB">
            <w:pPr>
              <w:keepNext/>
              <w:keepLines/>
              <w:spacing w:after="0" w:line="240" w:lineRule="auto"/>
              <w:jc w:val="right"/>
            </w:pPr>
            <w:r>
              <w:rPr>
                <w:sz w:val="18"/>
              </w:rPr>
              <w:t>30.329,42</w:t>
            </w:r>
          </w:p>
        </w:tc>
        <w:tc>
          <w:tcPr>
            <w:tcW w:w="700" w:type="dxa"/>
            <w:tcMar>
              <w:top w:w="0" w:type="dxa"/>
              <w:bottom w:w="0" w:type="dxa"/>
            </w:tcMar>
            <w:vAlign w:val="center"/>
          </w:tcPr>
          <w:p w:rsidR="005B3C75" w:rsidRDefault="00FE5CEB">
            <w:pPr>
              <w:keepNext/>
              <w:keepLines/>
              <w:spacing w:after="0" w:line="240" w:lineRule="auto"/>
              <w:jc w:val="right"/>
            </w:pPr>
            <w:r>
              <w:rPr>
                <w:sz w:val="18"/>
              </w:rPr>
              <w:t>-</w:t>
            </w:r>
          </w:p>
        </w:tc>
      </w:tr>
    </w:tbl>
    <w:p w:rsidR="005B3C75" w:rsidRDefault="005B3C75">
      <w:pPr>
        <w:spacing w:after="0"/>
      </w:pPr>
    </w:p>
    <w:p w:rsidR="005B3C75" w:rsidRDefault="00FE5CEB">
      <w:r>
        <w:t>Saldo dospjelih obveza na kraju izvještajnog razdoblja odnosi se na obveze za rashode poslovanja (materijalne rashode i usluge) za koje su zaprimljeni računi i evidentirani troškovi u skladu s načelom nastanka događaja  dok za iste do kraja izvještajnog ra</w:t>
      </w:r>
      <w:r>
        <w:t xml:space="preserve">zdoblja nisu ostvareni odgovarajući prihodi. Prihodi za podmirenje navedenih obveza ostvareni su, odnosno bit će ostvaren u sljedećem obračunskom razdoblju </w:t>
      </w:r>
      <w:proofErr w:type="spellStart"/>
      <w:r>
        <w:t>ćime</w:t>
      </w:r>
      <w:proofErr w:type="spellEnd"/>
      <w:r>
        <w:t xml:space="preserve"> će i obveze biti podmirene.</w:t>
      </w:r>
    </w:p>
    <w:p w:rsidR="005B3C75" w:rsidRDefault="005B3C75"/>
    <w:p w:rsidR="005B3C75" w:rsidRDefault="00FE5CEB">
      <w:pPr>
        <w:keepNext/>
        <w:spacing w:line="240" w:lineRule="auto"/>
        <w:jc w:val="center"/>
      </w:pPr>
      <w:r>
        <w:rPr>
          <w:sz w:val="28"/>
        </w:rPr>
        <w:t>Bilješka 24.</w:t>
      </w:r>
    </w:p>
    <w:p w:rsidR="005B3C75" w:rsidRDefault="00FE5CEB">
      <w:pPr>
        <w:spacing w:line="240" w:lineRule="auto"/>
        <w:jc w:val="both"/>
      </w:pPr>
      <w:r>
        <w:rPr>
          <w:b/>
        </w:rPr>
        <w:t>EU izvještaj</w:t>
      </w:r>
    </w:p>
    <w:p w:rsidR="005B3C75" w:rsidRDefault="00FE5CEB">
      <w:r>
        <w:t xml:space="preserve">EU izvještaj odnosi se na sredstva dobivena iz </w:t>
      </w:r>
      <w:proofErr w:type="spellStart"/>
      <w:r>
        <w:t>Erasmus</w:t>
      </w:r>
      <w:proofErr w:type="spellEnd"/>
      <w:r>
        <w:t>+ projekata i sredstva koja nam je uplatila Krapinsko-zagorska županija za financiranje plaća i prijevoza pomoćnika u nastavi preko EU projekta Baltazar 8, dio iz sredstava Ministarstva znanosti, obrazo</w:t>
      </w:r>
      <w:r>
        <w:t>vanja i mladih i dio iz izvornih sredstava.</w:t>
      </w:r>
    </w:p>
    <w:p w:rsidR="005B3C75" w:rsidRDefault="00FE5CEB">
      <w:r>
        <w:t xml:space="preserve">U 2025. godini ugovoreni iznos </w:t>
      </w:r>
      <w:proofErr w:type="spellStart"/>
      <w:r>
        <w:t>Erasmus</w:t>
      </w:r>
      <w:proofErr w:type="spellEnd"/>
      <w:r>
        <w:t xml:space="preserve">+ projekta je 36.455,00 EUR koji se prema novoj metodologiji evidentiranja vodi u </w:t>
      </w:r>
      <w:proofErr w:type="spellStart"/>
      <w:r>
        <w:t>izvanbilančnoj</w:t>
      </w:r>
      <w:proofErr w:type="spellEnd"/>
      <w:r>
        <w:t xml:space="preserve"> evidenciji. U 2025.godini evidentirana je uplata 80% ugovorenog iznosa od 29.</w:t>
      </w:r>
      <w:r>
        <w:t>156,00 EUR a od toga je utrošeno na rashode za zaposlene 8.259,27 EUR.</w:t>
      </w:r>
    </w:p>
    <w:p w:rsidR="00FE5CEB" w:rsidRDefault="00FE5CEB" w:rsidP="00FE5CEB">
      <w:r>
        <w:t> </w:t>
      </w:r>
    </w:p>
    <w:p w:rsidR="00FE5CEB" w:rsidRDefault="00FE5CEB" w:rsidP="00FE5CEB"/>
    <w:p w:rsidR="00FE5CEB" w:rsidRDefault="00FE5CEB" w:rsidP="00FE5CEB">
      <w:pPr>
        <w:ind w:left="5664" w:firstLine="708"/>
      </w:pPr>
      <w:r>
        <w:t>RAVNATELJ</w:t>
      </w:r>
      <w:r>
        <w:t>:</w:t>
      </w:r>
    </w:p>
    <w:p w:rsidR="00FE5CEB" w:rsidRDefault="00FE5CEB" w:rsidP="00FE5CEB">
      <w:pPr>
        <w:ind w:left="5664" w:firstLine="708"/>
      </w:pPr>
      <w:r>
        <w:t xml:space="preserve">Tomislav </w:t>
      </w:r>
      <w:proofErr w:type="spellStart"/>
      <w:r>
        <w:t>Polanović</w:t>
      </w:r>
      <w:proofErr w:type="spellEnd"/>
      <w:r>
        <w:t>, prof.</w:t>
      </w:r>
    </w:p>
    <w:p w:rsidR="00FE5CEB" w:rsidRDefault="00FE5CEB" w:rsidP="00FE5CEB"/>
    <w:p w:rsidR="00FE5CEB" w:rsidRDefault="00FE5CEB" w:rsidP="00FE5CEB">
      <w:r>
        <w:t>Osoba za kontakt:</w:t>
      </w:r>
    </w:p>
    <w:p w:rsidR="00FE5CEB" w:rsidRDefault="00FE5CEB" w:rsidP="00FE5CEB">
      <w:r>
        <w:t>Ivana Pintarić</w:t>
      </w:r>
    </w:p>
    <w:p w:rsidR="005B3C75" w:rsidRDefault="00FE5CEB" w:rsidP="00FE5CEB">
      <w:r>
        <w:t>049/</w:t>
      </w:r>
      <w:r>
        <w:t>221-050</w:t>
      </w:r>
      <w:bookmarkStart w:id="0" w:name="_GoBack"/>
      <w:bookmarkEnd w:id="0"/>
    </w:p>
    <w:p w:rsidR="005B3C75" w:rsidRDefault="005B3C75"/>
    <w:sectPr w:rsidR="005B3C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7200A"/>
    <w:multiLevelType w:val="hybridMultilevel"/>
    <w:tmpl w:val="A51CB174"/>
    <w:name w:val="disc"/>
    <w:lvl w:ilvl="0" w:tplc="2DE053DC">
      <w:start w:val="1"/>
      <w:numFmt w:val="bullet"/>
      <w:lvlText w:val="•"/>
      <w:lvlJc w:val="left"/>
      <w:pPr>
        <w:ind w:left="720" w:hanging="360"/>
      </w:pPr>
    </w:lvl>
    <w:lvl w:ilvl="1" w:tplc="7BA6F52C">
      <w:start w:val="1"/>
      <w:numFmt w:val="bullet"/>
      <w:lvlText w:val="•"/>
      <w:lvlJc w:val="left"/>
      <w:pPr>
        <w:ind w:left="1440" w:hanging="360"/>
      </w:pPr>
    </w:lvl>
    <w:lvl w:ilvl="2" w:tplc="494082A0">
      <w:start w:val="1"/>
      <w:numFmt w:val="bullet"/>
      <w:lvlText w:val="•"/>
      <w:lvlJc w:val="left"/>
      <w:pPr>
        <w:ind w:left="2160" w:hanging="360"/>
      </w:pPr>
    </w:lvl>
    <w:lvl w:ilvl="3" w:tplc="CB2AB3F8">
      <w:start w:val="1"/>
      <w:numFmt w:val="bullet"/>
      <w:lvlText w:val="•"/>
      <w:lvlJc w:val="left"/>
      <w:pPr>
        <w:ind w:left="2880" w:hanging="360"/>
      </w:pPr>
    </w:lvl>
    <w:lvl w:ilvl="4" w:tplc="D94849B0">
      <w:start w:val="1"/>
      <w:numFmt w:val="bullet"/>
      <w:lvlText w:val="•"/>
      <w:lvlJc w:val="left"/>
      <w:pPr>
        <w:ind w:left="3600" w:hanging="360"/>
      </w:pPr>
    </w:lvl>
    <w:lvl w:ilvl="5" w:tplc="4D9A66E8">
      <w:start w:val="1"/>
      <w:numFmt w:val="bullet"/>
      <w:lvlText w:val="•"/>
      <w:lvlJc w:val="left"/>
      <w:pPr>
        <w:ind w:left="4320" w:hanging="360"/>
      </w:pPr>
    </w:lvl>
    <w:lvl w:ilvl="6" w:tplc="61B6FF02">
      <w:start w:val="1"/>
      <w:numFmt w:val="bullet"/>
      <w:lvlText w:val="•"/>
      <w:lvlJc w:val="left"/>
      <w:pPr>
        <w:ind w:left="5040" w:hanging="360"/>
      </w:pPr>
    </w:lvl>
    <w:lvl w:ilvl="7" w:tplc="AD06725A">
      <w:start w:val="1"/>
      <w:numFmt w:val="bullet"/>
      <w:lvlText w:val="•"/>
      <w:lvlJc w:val="left"/>
      <w:pPr>
        <w:ind w:left="5760" w:hanging="360"/>
      </w:pPr>
    </w:lvl>
    <w:lvl w:ilvl="8" w:tplc="65BAEE0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5B3C75"/>
    <w:rsid w:val="005B3C75"/>
    <w:rsid w:val="00FE5C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2364</Words>
  <Characters>13477</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Računovodstvo 2</cp:lastModifiedBy>
  <cp:revision>2</cp:revision>
  <dcterms:created xsi:type="dcterms:W3CDTF">2026-02-16T11:13:00Z</dcterms:created>
  <dcterms:modified xsi:type="dcterms:W3CDTF">2026-02-16T11:18:00Z</dcterms:modified>
</cp:coreProperties>
</file>